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09088">
      <w:pPr>
        <w:rPr>
          <w:rFonts w:hint="eastAsia"/>
          <w:lang w:val="en-US" w:eastAsia="zh-CN"/>
        </w:rPr>
      </w:pPr>
      <w:r>
        <w:rPr>
          <w:rFonts w:hint="eastAsia"/>
          <w:lang w:val="en-US" w:eastAsia="zh-CN"/>
        </w:rPr>
        <w:t>评分标准：</w:t>
      </w:r>
    </w:p>
    <w:tbl>
      <w:tblPr>
        <w:tblStyle w:val="9"/>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295"/>
        <w:gridCol w:w="7655"/>
      </w:tblGrid>
      <w:tr w14:paraId="1DDD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48" w:type="dxa"/>
            <w:noWrap w:val="0"/>
            <w:vAlign w:val="center"/>
          </w:tcPr>
          <w:p w14:paraId="0554C11B">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295" w:type="dxa"/>
            <w:noWrap w:val="0"/>
            <w:vAlign w:val="center"/>
          </w:tcPr>
          <w:p w14:paraId="2F18B10E">
            <w:pPr>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7655" w:type="dxa"/>
            <w:noWrap w:val="0"/>
            <w:vAlign w:val="center"/>
          </w:tcPr>
          <w:p w14:paraId="68EDEED6">
            <w:pPr>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3322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dxa"/>
            <w:noWrap w:val="0"/>
            <w:vAlign w:val="center"/>
          </w:tcPr>
          <w:p w14:paraId="1A54F53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95" w:type="dxa"/>
            <w:noWrap w:val="0"/>
            <w:vAlign w:val="center"/>
          </w:tcPr>
          <w:p w14:paraId="1725E47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价格分</w:t>
            </w:r>
          </w:p>
          <w:p w14:paraId="713F5E3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（30分）</w:t>
            </w:r>
          </w:p>
        </w:tc>
        <w:tc>
          <w:tcPr>
            <w:tcW w:w="7655" w:type="dxa"/>
            <w:noWrap w:val="0"/>
            <w:vAlign w:val="center"/>
          </w:tcPr>
          <w:p w14:paraId="3F8BE3D8">
            <w:pPr>
              <w:pStyle w:val="7"/>
              <w:jc w:val="left"/>
              <w:rPr>
                <w:rFonts w:hint="eastAsia" w:ascii="宋体" w:hAnsi="宋体" w:eastAsia="宋体" w:cs="宋体"/>
                <w:b w:val="0"/>
                <w:bCs/>
                <w:sz w:val="24"/>
                <w:szCs w:val="24"/>
              </w:rPr>
            </w:pPr>
            <w:r>
              <w:rPr>
                <w:rFonts w:hint="eastAsia" w:ascii="宋体" w:hAnsi="宋体" w:eastAsia="宋体" w:cs="宋体"/>
                <w:b w:val="0"/>
                <w:bCs/>
                <w:sz w:val="24"/>
                <w:szCs w:val="24"/>
              </w:rPr>
              <w:t>该项基础分为30分。满足</w:t>
            </w:r>
            <w:r>
              <w:rPr>
                <w:rFonts w:hint="eastAsia" w:ascii="宋体" w:hAnsi="宋体" w:eastAsia="宋体" w:cs="宋体"/>
                <w:b w:val="0"/>
                <w:bCs/>
                <w:sz w:val="24"/>
                <w:szCs w:val="24"/>
                <w:lang w:val="en-US" w:eastAsia="zh-CN"/>
              </w:rPr>
              <w:t>招标</w:t>
            </w:r>
            <w:r>
              <w:rPr>
                <w:rFonts w:hint="eastAsia" w:ascii="宋体" w:hAnsi="宋体" w:eastAsia="宋体" w:cs="宋体"/>
                <w:b w:val="0"/>
                <w:bCs/>
                <w:sz w:val="24"/>
                <w:szCs w:val="24"/>
              </w:rPr>
              <w:t>文件要求且最终报价最低的报价为评审基准价，其价格分为满分。其他供应商的价格分统一按照下列公式计算：</w:t>
            </w:r>
          </w:p>
          <w:p w14:paraId="790CDEF7">
            <w:pPr>
              <w:rPr>
                <w:rFonts w:hint="eastAsia" w:ascii="宋体" w:hAnsi="宋体" w:eastAsia="宋体" w:cs="宋体"/>
                <w:b w:val="0"/>
                <w:bCs/>
                <w:sz w:val="24"/>
                <w:szCs w:val="24"/>
              </w:rPr>
            </w:pPr>
            <w:r>
              <w:rPr>
                <w:rFonts w:hint="eastAsia" w:ascii="宋体" w:hAnsi="宋体" w:eastAsia="宋体" w:cs="宋体"/>
                <w:b w:val="0"/>
                <w:bCs/>
                <w:sz w:val="24"/>
                <w:szCs w:val="24"/>
              </w:rPr>
              <w:t>最终报价得分=（评审基准价/最终报价）*30。</w:t>
            </w:r>
          </w:p>
          <w:p w14:paraId="70196EA1">
            <w:pPr>
              <w:rPr>
                <w:rFonts w:hint="eastAsia" w:ascii="宋体" w:hAnsi="宋体" w:eastAsia="宋体" w:cs="宋体"/>
                <w:sz w:val="24"/>
                <w:szCs w:val="24"/>
              </w:rPr>
            </w:pPr>
            <w:r>
              <w:rPr>
                <w:rFonts w:hint="eastAsia" w:ascii="宋体" w:hAnsi="宋体" w:eastAsia="宋体" w:cs="宋体"/>
                <w:b w:val="0"/>
                <w:bCs/>
                <w:sz w:val="24"/>
                <w:szCs w:val="24"/>
              </w:rPr>
              <w:t>报价得分保留小数点后两位，第三位四舍五入。</w:t>
            </w:r>
          </w:p>
        </w:tc>
      </w:tr>
      <w:tr w14:paraId="0EF1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dxa"/>
            <w:noWrap w:val="0"/>
            <w:vAlign w:val="center"/>
          </w:tcPr>
          <w:p w14:paraId="616AE4A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95" w:type="dxa"/>
            <w:noWrap w:val="0"/>
            <w:vAlign w:val="center"/>
          </w:tcPr>
          <w:p w14:paraId="1DEE8AC2">
            <w:pPr>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技术</w:t>
            </w:r>
          </w:p>
          <w:p w14:paraId="6056ACA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（30分）</w:t>
            </w:r>
          </w:p>
        </w:tc>
        <w:tc>
          <w:tcPr>
            <w:tcW w:w="7655" w:type="dxa"/>
            <w:noWrap w:val="0"/>
            <w:vAlign w:val="center"/>
          </w:tcPr>
          <w:p w14:paraId="39A4B3A6">
            <w:pPr>
              <w:pStyle w:val="7"/>
              <w:jc w:val="left"/>
              <w:rPr>
                <w:rFonts w:hint="eastAsia" w:ascii="宋体" w:hAnsi="宋体" w:eastAsia="宋体" w:cs="宋体"/>
                <w:b w:val="0"/>
                <w:bCs/>
                <w:sz w:val="24"/>
                <w:szCs w:val="24"/>
              </w:rPr>
            </w:pPr>
            <w:r>
              <w:rPr>
                <w:rFonts w:hint="eastAsia" w:ascii="宋体" w:hAnsi="宋体" w:eastAsia="宋体" w:cs="宋体"/>
                <w:color w:val="auto"/>
                <w:sz w:val="24"/>
                <w:szCs w:val="24"/>
                <w:highlight w:val="none"/>
              </w:rPr>
              <w:t>由评标委员会根据投标人投标产品的功能及技术参数要求响应情况进行打分，满足采购文件全部的技术指标、参数要求的得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分；带▲的参数为重要技术参数，带▲的参数不满足要求（负偏离），每项扣2分，其他参数不满足要求（负偏离），每项扣1分，扣完为止（不包括演示部分的参数指标，不重复计分）</w:t>
            </w:r>
          </w:p>
        </w:tc>
      </w:tr>
      <w:tr w14:paraId="779A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dxa"/>
            <w:noWrap w:val="0"/>
            <w:vAlign w:val="center"/>
          </w:tcPr>
          <w:p w14:paraId="39ACE32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95" w:type="dxa"/>
            <w:noWrap w:val="0"/>
            <w:vAlign w:val="center"/>
          </w:tcPr>
          <w:p w14:paraId="3D5795C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演示</w:t>
            </w:r>
          </w:p>
          <w:p w14:paraId="4F622ED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（12分）</w:t>
            </w:r>
          </w:p>
        </w:tc>
        <w:tc>
          <w:tcPr>
            <w:tcW w:w="7655" w:type="dxa"/>
            <w:noWrap w:val="0"/>
            <w:vAlign w:val="center"/>
          </w:tcPr>
          <w:p w14:paraId="4CC060B5">
            <w:pPr>
              <w:pStyle w:val="7"/>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0"/>
                <w:sz w:val="24"/>
                <w:szCs w:val="24"/>
                <w:lang w:val="de-DE" w:eastAsia="zh-CN"/>
              </w:rPr>
            </w:pPr>
            <w:r>
              <w:rPr>
                <w:rFonts w:hint="eastAsia" w:ascii="宋体" w:hAnsi="宋体" w:eastAsia="宋体" w:cs="宋体"/>
                <w:b/>
                <w:bCs/>
                <w:color w:val="auto"/>
                <w:sz w:val="24"/>
                <w:szCs w:val="24"/>
                <w:highlight w:val="none"/>
                <w:lang w:val="en-US" w:eastAsia="zh-CN"/>
              </w:rPr>
              <w:t>演示一：</w:t>
            </w:r>
            <w:r>
              <w:rPr>
                <w:rFonts w:hint="eastAsia" w:ascii="宋体" w:hAnsi="宋体" w:eastAsia="宋体" w:cs="宋体"/>
                <w:b/>
                <w:bCs/>
                <w:kern w:val="0"/>
                <w:sz w:val="24"/>
                <w:szCs w:val="24"/>
                <w:lang w:val="de-DE"/>
              </w:rPr>
              <w:t>RFID读写器</w:t>
            </w:r>
            <w:r>
              <w:rPr>
                <w:rFonts w:hint="eastAsia" w:ascii="宋体" w:hAnsi="宋体" w:eastAsia="宋体" w:cs="宋体"/>
                <w:b/>
                <w:bCs/>
                <w:kern w:val="0"/>
                <w:sz w:val="24"/>
                <w:szCs w:val="24"/>
                <w:lang w:val="de-DE" w:eastAsia="zh-CN"/>
              </w:rPr>
              <w:t>（</w:t>
            </w:r>
            <w:r>
              <w:rPr>
                <w:rFonts w:hint="eastAsia" w:ascii="宋体" w:hAnsi="宋体" w:eastAsia="宋体" w:cs="宋体"/>
                <w:b/>
                <w:bCs/>
                <w:kern w:val="0"/>
                <w:sz w:val="24"/>
                <w:szCs w:val="24"/>
                <w:lang w:val="en-US" w:eastAsia="zh-CN"/>
              </w:rPr>
              <w:t>4分</w:t>
            </w:r>
            <w:r>
              <w:rPr>
                <w:rFonts w:hint="eastAsia" w:ascii="宋体" w:hAnsi="宋体" w:eastAsia="宋体" w:cs="宋体"/>
                <w:b/>
                <w:bCs/>
                <w:kern w:val="0"/>
                <w:sz w:val="24"/>
                <w:szCs w:val="24"/>
                <w:lang w:val="de-DE" w:eastAsia="zh-CN"/>
              </w:rPr>
              <w:t>）</w:t>
            </w:r>
          </w:p>
          <w:p w14:paraId="42E5D09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de-DE"/>
              </w:rPr>
            </w:pPr>
            <w:r>
              <w:rPr>
                <w:rFonts w:hint="eastAsia" w:ascii="宋体" w:hAnsi="宋体" w:eastAsia="宋体" w:cs="宋体"/>
                <w:color w:val="auto"/>
                <w:kern w:val="0"/>
                <w:sz w:val="24"/>
                <w:szCs w:val="24"/>
                <w:lang w:val="de-DE"/>
              </w:rPr>
              <w:t>要求采用高频的RFID，工作频率为13.56MHz，能够通过RFID的RS485通讯方式来刷卡进行整体设备的电源管理控制，同时会有相应的提示音和LED指示灯。</w:t>
            </w:r>
          </w:p>
          <w:p w14:paraId="338A395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de-DE"/>
              </w:rPr>
            </w:pPr>
            <w:r>
              <w:rPr>
                <w:rFonts w:hint="eastAsia" w:ascii="宋体" w:hAnsi="宋体" w:eastAsia="宋体" w:cs="宋体"/>
                <w:color w:val="auto"/>
                <w:kern w:val="0"/>
                <w:sz w:val="24"/>
                <w:szCs w:val="24"/>
                <w:lang w:val="de-DE"/>
              </w:rPr>
              <w:t>RFID除了通过RS485通讯刷卡进行电源管理之外，还要求具有以下功能：</w:t>
            </w:r>
          </w:p>
          <w:p w14:paraId="1ADE45C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de-DE"/>
              </w:rPr>
            </w:pPr>
            <w:r>
              <w:rPr>
                <w:rFonts w:hint="eastAsia" w:ascii="宋体" w:hAnsi="宋体" w:eastAsia="宋体" w:cs="宋体"/>
                <w:color w:val="auto"/>
                <w:kern w:val="0"/>
                <w:sz w:val="24"/>
                <w:szCs w:val="24"/>
                <w:lang w:val="de-DE"/>
              </w:rPr>
              <w:t>1)OLED液晶显示读卡信息。默认显示RFID卡的卡号和数据和错误指令，也可以通过软件设置实际需要显示的信息，可根据错误指令能够快速的定位错误原因；</w:t>
            </w:r>
          </w:p>
          <w:p w14:paraId="7FAF13D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de-DE"/>
              </w:rPr>
            </w:pPr>
            <w:r>
              <w:rPr>
                <w:rFonts w:hint="eastAsia" w:ascii="宋体" w:hAnsi="宋体" w:eastAsia="宋体" w:cs="宋体"/>
                <w:color w:val="auto"/>
                <w:kern w:val="0"/>
                <w:sz w:val="24"/>
                <w:szCs w:val="24"/>
                <w:lang w:val="de-DE"/>
              </w:rPr>
              <w:t>2)RFID在不同的状态下会有相对应的声音提示，可以根据提示音来判断RFID读写器的当前状态。</w:t>
            </w:r>
          </w:p>
          <w:p w14:paraId="219A8EA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de-DE"/>
              </w:rPr>
            </w:pPr>
            <w:r>
              <w:rPr>
                <w:rFonts w:hint="eastAsia" w:ascii="宋体" w:hAnsi="宋体" w:eastAsia="宋体" w:cs="宋体"/>
                <w:color w:val="auto"/>
                <w:kern w:val="0"/>
                <w:sz w:val="24"/>
                <w:szCs w:val="24"/>
                <w:lang w:val="de-DE"/>
              </w:rPr>
              <w:t>3)数据校验。RFID写入数据应能够通过两种方式进行校验：①通过OLED显示屏对比写入数据和读取数据的一致性；②通过校验指令进行判断；</w:t>
            </w:r>
          </w:p>
          <w:p w14:paraId="57EBACF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de-DE"/>
              </w:rPr>
            </w:pPr>
            <w:r>
              <w:rPr>
                <w:rFonts w:hint="eastAsia" w:ascii="宋体" w:hAnsi="宋体" w:eastAsia="宋体" w:cs="宋体"/>
                <w:color w:val="auto"/>
                <w:kern w:val="0"/>
                <w:sz w:val="24"/>
                <w:szCs w:val="24"/>
                <w:lang w:val="de-DE"/>
              </w:rPr>
              <w:t>4)参数设置和功能测试。可通过自带软件对设备进行参数设置和读写功能测试。</w:t>
            </w:r>
          </w:p>
          <w:p w14:paraId="694C6C4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de-DE"/>
              </w:rPr>
            </w:pPr>
            <w:r>
              <w:rPr>
                <w:rFonts w:hint="eastAsia" w:ascii="宋体" w:hAnsi="宋体" w:eastAsia="宋体" w:cs="宋体"/>
                <w:color w:val="auto"/>
                <w:kern w:val="0"/>
                <w:sz w:val="24"/>
                <w:szCs w:val="24"/>
                <w:lang w:val="de-DE"/>
              </w:rPr>
              <w:t>5)通信方式。RFID读写器要求支持ISO-15693协议，提供ModBus_TCP或ModBus_RTU两种标准的通信协议。提供完整操作做运行视频现场演示。</w:t>
            </w:r>
          </w:p>
          <w:p w14:paraId="3A32AA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sz w:val="24"/>
                <w:szCs w:val="24"/>
                <w:lang w:val="en-US" w:eastAsia="zh-CN"/>
              </w:rPr>
              <w:t>演示二：</w:t>
            </w:r>
            <w:r>
              <w:rPr>
                <w:rFonts w:hint="eastAsia" w:ascii="宋体" w:hAnsi="宋体" w:eastAsia="宋体" w:cs="宋体"/>
                <w:b/>
                <w:bCs/>
                <w:color w:val="auto"/>
                <w:sz w:val="24"/>
                <w:szCs w:val="24"/>
                <w:highlight w:val="none"/>
              </w:rPr>
              <w:t>▲智能制造系统集成应用平台</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4分</w:t>
            </w:r>
            <w:r>
              <w:rPr>
                <w:rFonts w:hint="eastAsia" w:ascii="宋体" w:hAnsi="宋体" w:eastAsia="宋体" w:cs="宋体"/>
                <w:b/>
                <w:bCs/>
                <w:color w:val="auto"/>
                <w:sz w:val="24"/>
                <w:szCs w:val="24"/>
                <w:highlight w:val="none"/>
                <w:lang w:eastAsia="zh-CN"/>
              </w:rPr>
              <w:t>）</w:t>
            </w:r>
          </w:p>
          <w:p w14:paraId="53C62C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智能制造系统集成应用平台虚拟模型需满足以下流程：</w:t>
            </w:r>
          </w:p>
          <w:p w14:paraId="1B8E88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智能仓储单元：三轴机械手（X、Y、Z轴）通过订单下发的内容运行到对应的仓位进行毛坯工件出库放置到中转工位。</w:t>
            </w:r>
          </w:p>
          <w:p w14:paraId="55ACBA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1)AGV搬运单元：AGV进行转运（出库），从中转工位搬运到缓冲工位。</w:t>
            </w:r>
          </w:p>
          <w:p w14:paraId="124597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2)工业机器人单元及RFID读写单元：机器人抓取AGV单元缓冲工位中的托盘及毛坯物料，放置到RFID读写器上方，进行信息读写。</w:t>
            </w:r>
          </w:p>
          <w:p w14:paraId="783A27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3)加工中心单元：读写完成后机器人抓取毛坯料进行机床上料，上料完成后加工中心进行加工、在线测量，测量完成后机器人进行加工件下料。</w:t>
            </w:r>
          </w:p>
          <w:p w14:paraId="451B26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4)视觉检测单元：下料完成后进行智能检测（视觉）。</w:t>
            </w:r>
          </w:p>
          <w:p w14:paraId="5D9A97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5)工业机器人单元及RFID读写单元：视觉检测完成后RFID进行信息更新，更新完成后机器人搬运成品放置到缓冲工位。</w:t>
            </w:r>
          </w:p>
          <w:p w14:paraId="556122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6)AGV搬运单元：AGV进行转运（成品入库），从缓冲工位搬运到中转工位。</w:t>
            </w:r>
          </w:p>
          <w:p w14:paraId="2768C1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7)智能仓储单元：三轴机械手（X、Y、Z轴）进行成品入库。</w:t>
            </w:r>
          </w:p>
          <w:p w14:paraId="526C73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要求响应文件附相对应以上功能的智能制造系统集成应用平台模型图片并加盖供应商公章。</w:t>
            </w:r>
          </w:p>
          <w:p w14:paraId="60A233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演示三：▲工业机器人虚拟拆装训练仿真系统（4分）</w:t>
            </w:r>
          </w:p>
          <w:p w14:paraId="44523F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3D技术与交互式动画相结合的方式，仿真拆装工业机器人机械结构，通过对机器人的3D模拟仿真拆装训练，可以在线将每个轴拆卸成独立的零部件，让学生掌握工业机器人的硬件组成、机器人结构分析、机器人电机安装、RV减速器、谐波减速器安装等机器人安装技能。</w:t>
            </w:r>
          </w:p>
          <w:p w14:paraId="007B44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（2）装配模式中的随机性：</w:t>
            </w:r>
          </w:p>
          <w:p w14:paraId="43DF0C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本系统装配模式中，每次点击进入装配场景后，桌面上散落的各种零件，其位置、角度均不同。通过这种随机机制，可以更好的训练学员进行装配。</w:t>
            </w:r>
          </w:p>
          <w:p w14:paraId="32DBCC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（3）智能拆装：</w:t>
            </w:r>
          </w:p>
          <w:p w14:paraId="616188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系统设有智能拆装助手，在学员还没有完全掌握工业机器人的拆装顺序、步骤时，只需通过简单的点击操作便可以实现分步式拆装、自动拆装、规定步序拆装等操作，教师可用此功能作为教学示教，学生利用此功能进行自主学习。</w:t>
            </w:r>
            <w:bookmarkStart w:id="0" w:name="_GoBack"/>
            <w:bookmarkEnd w:id="0"/>
          </w:p>
          <w:p w14:paraId="757F9E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（4）全方位零件展示方式：</w:t>
            </w:r>
          </w:p>
          <w:p w14:paraId="37A63B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本系统以3D形式展示零件，设有零件视窗，零件视窗内可拖动零件实现360度全方位交互展示。</w:t>
            </w:r>
          </w:p>
          <w:p w14:paraId="37A7B8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（5）零件视察显示：</w:t>
            </w:r>
          </w:p>
          <w:p w14:paraId="32A89A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鼠标移动到零件上的时候，零件会以高亮标识出示零件的名称、轮廓，方便识别。</w:t>
            </w:r>
          </w:p>
          <w:p w14:paraId="750905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（6）摄像机位置追踪：</w:t>
            </w:r>
          </w:p>
          <w:p w14:paraId="630B97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当鼠标点击某个零件的时候，摄像机会平滑运动过度到该零件位置，操作简单。</w:t>
            </w:r>
          </w:p>
          <w:p w14:paraId="652512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（7）场景切换：</w:t>
            </w:r>
          </w:p>
          <w:p w14:paraId="15AB5C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本系统内设简易和仿真两种场景模式供用户选择切换，仿真场景以实际工业机器人理实一体化教室为模型，设有理论学习区、讨论区、装配区、资料区等不同区域，给学生以真实学习环境。</w:t>
            </w:r>
          </w:p>
          <w:p w14:paraId="73457E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（8）跨平台：本系统兼容Android、PC平台。</w:t>
            </w:r>
          </w:p>
        </w:tc>
      </w:tr>
      <w:tr w14:paraId="1A94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dxa"/>
            <w:noWrap w:val="0"/>
            <w:vAlign w:val="center"/>
          </w:tcPr>
          <w:p w14:paraId="40119E8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95" w:type="dxa"/>
            <w:noWrap w:val="0"/>
            <w:vAlign w:val="center"/>
          </w:tcPr>
          <w:p w14:paraId="56D461CA">
            <w:pPr>
              <w:jc w:val="center"/>
              <w:rPr>
                <w:rFonts w:hint="eastAsia" w:ascii="宋体" w:hAnsi="宋体" w:eastAsia="宋体" w:cs="宋体"/>
                <w:sz w:val="24"/>
                <w:szCs w:val="24"/>
              </w:rPr>
            </w:pPr>
            <w:r>
              <w:rPr>
                <w:rFonts w:hint="eastAsia" w:ascii="宋体" w:hAnsi="宋体" w:eastAsia="宋体" w:cs="宋体"/>
                <w:sz w:val="24"/>
                <w:szCs w:val="24"/>
              </w:rPr>
              <w:t>业绩   （</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55" w:type="dxa"/>
            <w:noWrap w:val="0"/>
            <w:vAlign w:val="center"/>
          </w:tcPr>
          <w:p w14:paraId="5BCEE3D1">
            <w:pPr>
              <w:pStyle w:val="7"/>
              <w:jc w:val="left"/>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lang w:val="en-US" w:eastAsia="zh-CN"/>
              </w:rPr>
              <w:t>投标截止前3年内</w:t>
            </w:r>
            <w:r>
              <w:rPr>
                <w:rFonts w:hint="eastAsia" w:ascii="宋体" w:hAnsi="宋体" w:eastAsia="宋体" w:cs="宋体"/>
                <w:sz w:val="24"/>
                <w:szCs w:val="24"/>
              </w:rPr>
              <w:t>（以合同签订时间为准）投标人具有类似业绩的，每提供一个得1分，最高得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14:paraId="4F356303">
            <w:pPr>
              <w:pStyle w:val="7"/>
              <w:jc w:val="left"/>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Hans"/>
              </w:rPr>
              <w:t>（须提供合同复印件加盖公章，原件核查，否则不计分）</w:t>
            </w:r>
          </w:p>
        </w:tc>
      </w:tr>
      <w:tr w14:paraId="7D61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dxa"/>
            <w:noWrap w:val="0"/>
            <w:vAlign w:val="center"/>
          </w:tcPr>
          <w:p w14:paraId="4E31716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95" w:type="dxa"/>
            <w:noWrap w:val="0"/>
            <w:vAlign w:val="center"/>
          </w:tcPr>
          <w:p w14:paraId="786D4332">
            <w:pPr>
              <w:jc w:val="center"/>
              <w:rPr>
                <w:rFonts w:hint="eastAsia" w:ascii="宋体" w:hAnsi="宋体" w:eastAsia="宋体" w:cs="宋体"/>
                <w:bCs/>
                <w:kern w:val="0"/>
                <w:sz w:val="24"/>
                <w:szCs w:val="24"/>
              </w:rPr>
            </w:pPr>
            <w:r>
              <w:rPr>
                <w:rFonts w:hint="eastAsia" w:ascii="宋体" w:hAnsi="宋体" w:eastAsia="宋体" w:cs="宋体"/>
                <w:bCs/>
                <w:kern w:val="0"/>
                <w:sz w:val="24"/>
                <w:szCs w:val="24"/>
              </w:rPr>
              <w:t>综合实力</w:t>
            </w:r>
          </w:p>
          <w:p w14:paraId="38B52FDF">
            <w:pPr>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7分</w:t>
            </w:r>
            <w:r>
              <w:rPr>
                <w:rFonts w:hint="eastAsia" w:ascii="宋体" w:hAnsi="宋体" w:eastAsia="宋体" w:cs="宋体"/>
                <w:bCs/>
                <w:kern w:val="0"/>
                <w:sz w:val="24"/>
                <w:szCs w:val="24"/>
                <w:lang w:eastAsia="zh-CN"/>
              </w:rPr>
              <w:t>）</w:t>
            </w:r>
          </w:p>
        </w:tc>
        <w:tc>
          <w:tcPr>
            <w:tcW w:w="7655" w:type="dxa"/>
            <w:noWrap w:val="0"/>
            <w:vAlign w:val="center"/>
          </w:tcPr>
          <w:p w14:paraId="2022839D">
            <w:pPr>
              <w:widowControl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1、投标人被工信部认定为专精特新小巨人企业的得1分。</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zh-CN" w:eastAsia="zh-CN"/>
              </w:rPr>
              <w:t>提供相关证明文件扫描件并加盖公章，否则不得分</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64FA2A51">
            <w:pPr>
              <w:widowControl w:val="0"/>
              <w:snapToGrid w:val="0"/>
              <w:spacing w:line="360" w:lineRule="auto"/>
              <w:jc w:val="left"/>
              <w:rPr>
                <w:rFonts w:hint="eastAsia" w:ascii="宋体" w:hAnsi="宋体" w:eastAsia="宋体" w:cs="宋体"/>
                <w:kern w:val="2"/>
                <w:sz w:val="24"/>
                <w:szCs w:val="24"/>
                <w:lang w:val="zh-CN"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kern w:val="2"/>
                <w:sz w:val="24"/>
                <w:szCs w:val="24"/>
                <w:lang w:val="zh-CN" w:eastAsia="zh-CN" w:bidi="ar-SA"/>
              </w:rPr>
              <w:t>投标人同时通过质量管理体系认证、职业健康安全管理体系认证、环境管理体系认证、</w:t>
            </w:r>
            <w:r>
              <w:rPr>
                <w:rFonts w:hint="eastAsia" w:ascii="宋体" w:hAnsi="宋体" w:eastAsia="宋体" w:cs="宋体"/>
                <w:kern w:val="2"/>
                <w:sz w:val="24"/>
                <w:szCs w:val="24"/>
                <w:lang w:val="en-US" w:eastAsia="zh-CN" w:bidi="ar-SA"/>
              </w:rPr>
              <w:t>国际质量体系认证</w:t>
            </w:r>
            <w:r>
              <w:rPr>
                <w:rFonts w:hint="eastAsia" w:ascii="宋体" w:hAnsi="宋体" w:eastAsia="宋体" w:cs="宋体"/>
                <w:kern w:val="2"/>
                <w:sz w:val="24"/>
                <w:szCs w:val="24"/>
                <w:lang w:val="zh-CN" w:eastAsia="zh-CN" w:bidi="ar-SA"/>
              </w:rPr>
              <w:t>，全部提供</w:t>
            </w:r>
            <w:r>
              <w:rPr>
                <w:rFonts w:hint="eastAsia" w:ascii="宋体" w:hAnsi="宋体" w:eastAsia="宋体" w:cs="宋体"/>
                <w:kern w:val="2"/>
                <w:sz w:val="24"/>
                <w:szCs w:val="24"/>
                <w:lang w:val="en-US" w:eastAsia="zh-CN" w:bidi="ar-SA"/>
              </w:rPr>
              <w:t>得4</w:t>
            </w:r>
            <w:r>
              <w:rPr>
                <w:rFonts w:hint="eastAsia" w:ascii="宋体" w:hAnsi="宋体" w:eastAsia="宋体" w:cs="宋体"/>
                <w:kern w:val="2"/>
                <w:sz w:val="24"/>
                <w:szCs w:val="24"/>
                <w:lang w:val="zh-CN" w:eastAsia="zh-CN" w:bidi="ar-SA"/>
              </w:rPr>
              <w:t>分，不提供或提供不全的本项不计分。（提供相关证明文件扫描件并加盖公章，否则不得分）。</w:t>
            </w:r>
          </w:p>
          <w:p w14:paraId="7CF6D596">
            <w:pPr>
              <w:pStyle w:val="7"/>
              <w:jc w:val="left"/>
              <w:rPr>
                <w:rFonts w:hint="eastAsia" w:ascii="宋体" w:hAnsi="宋体" w:eastAsia="宋体" w:cs="宋体"/>
                <w:sz w:val="24"/>
                <w:szCs w:val="24"/>
                <w:lang w:val="en-US" w:eastAsia="zh-Hans"/>
              </w:rPr>
            </w:pPr>
            <w:r>
              <w:rPr>
                <w:rFonts w:hint="eastAsia" w:ascii="宋体" w:hAnsi="宋体" w:eastAsia="宋体" w:cs="宋体"/>
                <w:kern w:val="2"/>
                <w:sz w:val="24"/>
                <w:szCs w:val="24"/>
                <w:lang w:val="en-US" w:eastAsia="zh-CN" w:bidi="ar-SA"/>
              </w:rPr>
              <w:t>3、投标人需具有行业协会出具的相关设备硬件和软件开发能力，并提供有效证明文件得2分(提供相关证明材料复印件，并加盖投标人公章。)</w:t>
            </w:r>
          </w:p>
        </w:tc>
      </w:tr>
      <w:tr w14:paraId="2B5F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dxa"/>
            <w:vMerge w:val="restart"/>
            <w:noWrap w:val="0"/>
            <w:vAlign w:val="center"/>
          </w:tcPr>
          <w:p w14:paraId="6A69F19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95" w:type="dxa"/>
            <w:vMerge w:val="restart"/>
            <w:noWrap w:val="0"/>
            <w:vAlign w:val="top"/>
          </w:tcPr>
          <w:p w14:paraId="40C015DC">
            <w:pPr>
              <w:pStyle w:val="12"/>
              <w:spacing w:before="210"/>
              <w:ind w:left="108"/>
              <w:rPr>
                <w:rFonts w:hint="eastAsia" w:ascii="宋体" w:hAnsi="宋体" w:eastAsia="宋体" w:cs="宋体"/>
                <w:sz w:val="24"/>
                <w:szCs w:val="24"/>
              </w:rPr>
            </w:pPr>
            <w:r>
              <w:rPr>
                <w:rFonts w:hint="eastAsia" w:ascii="宋体" w:hAnsi="宋体" w:eastAsia="宋体" w:cs="宋体"/>
                <w:sz w:val="24"/>
                <w:szCs w:val="24"/>
                <w:lang w:val="en-US" w:eastAsia="zh-CN"/>
              </w:rPr>
              <w:t>实施</w:t>
            </w:r>
            <w:r>
              <w:rPr>
                <w:rFonts w:hint="eastAsia" w:ascii="宋体" w:hAnsi="宋体" w:eastAsia="宋体" w:cs="宋体"/>
                <w:sz w:val="24"/>
                <w:szCs w:val="24"/>
              </w:rPr>
              <w:t>方案</w:t>
            </w:r>
          </w:p>
          <w:p w14:paraId="5DB2360E">
            <w:pPr>
              <w:pStyle w:val="12"/>
              <w:spacing w:before="159"/>
              <w:ind w:left="108" w:leftChars="0"/>
              <w:rPr>
                <w:rFonts w:hint="eastAsia" w:ascii="宋体" w:hAnsi="宋体" w:eastAsia="宋体" w:cs="宋体"/>
                <w:bCs/>
                <w:kern w:val="0"/>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pacing w:val="-30"/>
                <w:sz w:val="24"/>
                <w:szCs w:val="24"/>
              </w:rPr>
              <w:t>分</w:t>
            </w:r>
            <w:r>
              <w:rPr>
                <w:rFonts w:hint="eastAsia" w:ascii="宋体" w:hAnsi="宋体" w:eastAsia="宋体" w:cs="宋体"/>
                <w:sz w:val="24"/>
                <w:szCs w:val="24"/>
              </w:rPr>
              <w:t>）</w:t>
            </w:r>
          </w:p>
        </w:tc>
        <w:tc>
          <w:tcPr>
            <w:tcW w:w="7655" w:type="dxa"/>
            <w:noWrap w:val="0"/>
            <w:vAlign w:val="center"/>
          </w:tcPr>
          <w:p w14:paraId="1678580A">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根据投标人提供的产品</w:t>
            </w:r>
            <w:r>
              <w:rPr>
                <w:rFonts w:hint="eastAsia" w:ascii="宋体" w:hAnsi="宋体" w:eastAsia="宋体" w:cs="宋体"/>
                <w:b/>
                <w:bCs/>
                <w:sz w:val="24"/>
                <w:szCs w:val="24"/>
              </w:rPr>
              <w:t>供货、验货、安装调试的方案</w:t>
            </w:r>
            <w:r>
              <w:rPr>
                <w:rFonts w:hint="eastAsia" w:ascii="宋体" w:hAnsi="宋体" w:eastAsia="宋体" w:cs="宋体"/>
                <w:sz w:val="24"/>
                <w:szCs w:val="24"/>
              </w:rPr>
              <w:t>，关键步骤的安排和要点，内容是否完整合理性且具有针对性，由评委根据对应分值进行打分。</w:t>
            </w:r>
            <w:r>
              <w:rPr>
                <w:rFonts w:hint="eastAsia" w:ascii="宋体" w:hAnsi="宋体" w:eastAsia="宋体" w:cs="宋体"/>
                <w:bCs/>
                <w:sz w:val="24"/>
                <w:szCs w:val="24"/>
              </w:rPr>
              <w:t>（分值：2、1.5、1、0.5、0分）</w:t>
            </w:r>
          </w:p>
        </w:tc>
      </w:tr>
      <w:tr w14:paraId="454E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dxa"/>
            <w:vMerge w:val="continue"/>
            <w:tcBorders/>
            <w:noWrap w:val="0"/>
            <w:vAlign w:val="center"/>
          </w:tcPr>
          <w:p w14:paraId="70BC5CBF">
            <w:pPr>
              <w:jc w:val="center"/>
              <w:rPr>
                <w:rFonts w:hint="eastAsia" w:ascii="宋体" w:hAnsi="宋体" w:eastAsia="宋体" w:cs="宋体"/>
                <w:sz w:val="24"/>
                <w:szCs w:val="24"/>
                <w:lang w:val="en-US" w:eastAsia="zh-CN"/>
              </w:rPr>
            </w:pPr>
          </w:p>
        </w:tc>
        <w:tc>
          <w:tcPr>
            <w:tcW w:w="1295" w:type="dxa"/>
            <w:vMerge w:val="continue"/>
            <w:tcBorders/>
            <w:noWrap w:val="0"/>
            <w:vAlign w:val="top"/>
          </w:tcPr>
          <w:p w14:paraId="3D9C8F62">
            <w:pPr>
              <w:pStyle w:val="12"/>
              <w:spacing w:before="159"/>
              <w:ind w:left="108" w:leftChars="0"/>
              <w:rPr>
                <w:rFonts w:hint="eastAsia" w:ascii="宋体" w:hAnsi="宋体" w:eastAsia="宋体" w:cs="宋体"/>
                <w:sz w:val="24"/>
                <w:szCs w:val="24"/>
              </w:rPr>
            </w:pPr>
          </w:p>
        </w:tc>
        <w:tc>
          <w:tcPr>
            <w:tcW w:w="7655" w:type="dxa"/>
            <w:noWrap w:val="0"/>
            <w:vAlign w:val="center"/>
          </w:tcPr>
          <w:p w14:paraId="418AF18B">
            <w:pPr>
              <w:jc w:val="left"/>
              <w:rPr>
                <w:rFonts w:hint="eastAsia" w:ascii="宋体" w:hAnsi="宋体" w:eastAsia="宋体" w:cs="宋体"/>
                <w:spacing w:val="-3"/>
                <w:sz w:val="24"/>
                <w:szCs w:val="24"/>
              </w:rPr>
            </w:pPr>
            <w:r>
              <w:rPr>
                <w:rFonts w:hint="eastAsia" w:ascii="宋体" w:hAnsi="宋体" w:eastAsia="宋体" w:cs="宋体"/>
                <w:sz w:val="24"/>
                <w:szCs w:val="24"/>
              </w:rPr>
              <w:t>根据投标人提供的组织机构、实施人员配置、实施进度安排、工作程序和步骤等内容，能否满足本项目要求，由评委根据对应分值进行打分。</w:t>
            </w:r>
            <w:r>
              <w:rPr>
                <w:rFonts w:hint="eastAsia" w:ascii="宋体" w:hAnsi="宋体" w:eastAsia="宋体" w:cs="宋体"/>
                <w:bCs/>
                <w:sz w:val="24"/>
                <w:szCs w:val="24"/>
              </w:rPr>
              <w:t>（分值：2、1.5、1、0.5、0分）</w:t>
            </w:r>
          </w:p>
        </w:tc>
      </w:tr>
      <w:tr w14:paraId="2304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dxa"/>
            <w:vMerge w:val="continue"/>
            <w:tcBorders/>
            <w:noWrap w:val="0"/>
            <w:vAlign w:val="center"/>
          </w:tcPr>
          <w:p w14:paraId="54BBF6CC">
            <w:pPr>
              <w:jc w:val="center"/>
              <w:rPr>
                <w:rFonts w:hint="eastAsia" w:ascii="宋体" w:hAnsi="宋体" w:eastAsia="宋体" w:cs="宋体"/>
                <w:sz w:val="24"/>
                <w:szCs w:val="24"/>
                <w:lang w:val="en-US" w:eastAsia="zh-CN"/>
              </w:rPr>
            </w:pPr>
          </w:p>
        </w:tc>
        <w:tc>
          <w:tcPr>
            <w:tcW w:w="1295" w:type="dxa"/>
            <w:vMerge w:val="continue"/>
            <w:tcBorders/>
            <w:noWrap w:val="0"/>
            <w:vAlign w:val="top"/>
          </w:tcPr>
          <w:p w14:paraId="08AA8D7D">
            <w:pPr>
              <w:pStyle w:val="12"/>
              <w:spacing w:before="159"/>
              <w:ind w:left="108" w:leftChars="0"/>
              <w:rPr>
                <w:rFonts w:hint="eastAsia" w:ascii="宋体" w:hAnsi="宋体" w:eastAsia="宋体" w:cs="宋体"/>
                <w:sz w:val="24"/>
                <w:szCs w:val="24"/>
              </w:rPr>
            </w:pPr>
          </w:p>
        </w:tc>
        <w:tc>
          <w:tcPr>
            <w:tcW w:w="7655" w:type="dxa"/>
            <w:noWrap w:val="0"/>
            <w:vAlign w:val="center"/>
          </w:tcPr>
          <w:p w14:paraId="614567B7">
            <w:pPr>
              <w:jc w:val="left"/>
              <w:rPr>
                <w:rFonts w:hint="eastAsia" w:ascii="宋体" w:hAnsi="宋体" w:eastAsia="宋体" w:cs="宋体"/>
                <w:spacing w:val="-3"/>
                <w:sz w:val="24"/>
                <w:szCs w:val="24"/>
              </w:rPr>
            </w:pPr>
            <w:r>
              <w:rPr>
                <w:rFonts w:hint="eastAsia" w:ascii="宋体" w:hAnsi="宋体" w:eastAsia="宋体" w:cs="宋体"/>
                <w:sz w:val="24"/>
                <w:szCs w:val="24"/>
              </w:rPr>
              <w:t>根据投标人提供的各环节质量、安全保证措施和承诺等内容是否完整且具有针对性，由评委根据对应分值进行打分。（分值：2、1.5、1、0.5、0分）</w:t>
            </w:r>
          </w:p>
        </w:tc>
      </w:tr>
      <w:tr w14:paraId="648D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dxa"/>
            <w:vMerge w:val="restart"/>
            <w:noWrap w:val="0"/>
            <w:vAlign w:val="center"/>
          </w:tcPr>
          <w:p w14:paraId="63C6B03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295" w:type="dxa"/>
            <w:vMerge w:val="restart"/>
            <w:noWrap w:val="0"/>
            <w:vAlign w:val="center"/>
          </w:tcPr>
          <w:p w14:paraId="15D83560">
            <w:pPr>
              <w:jc w:val="center"/>
              <w:rPr>
                <w:rFonts w:hint="eastAsia" w:ascii="宋体" w:hAnsi="宋体" w:eastAsia="宋体" w:cs="宋体"/>
                <w:color w:val="auto"/>
                <w:sz w:val="24"/>
                <w:szCs w:val="24"/>
                <w:highlight w:val="none"/>
                <w:lang w:val="zh-CN" w:eastAsia="zh-Hans"/>
              </w:rPr>
            </w:pPr>
            <w:r>
              <w:rPr>
                <w:rFonts w:hint="eastAsia" w:ascii="宋体" w:hAnsi="宋体" w:eastAsia="宋体" w:cs="宋体"/>
                <w:color w:val="auto"/>
                <w:sz w:val="24"/>
                <w:szCs w:val="24"/>
                <w:highlight w:val="none"/>
                <w:lang w:val="zh-CN" w:eastAsia="zh-Hans"/>
              </w:rPr>
              <w:t>售后服务</w:t>
            </w:r>
          </w:p>
          <w:p w14:paraId="5335FAFE">
            <w:pPr>
              <w:jc w:val="center"/>
              <w:rPr>
                <w:rFonts w:hint="eastAsia" w:ascii="宋体" w:hAnsi="宋体" w:eastAsia="宋体" w:cs="宋体"/>
                <w:color w:val="auto"/>
                <w:sz w:val="24"/>
                <w:szCs w:val="24"/>
                <w:highlight w:val="none"/>
                <w:lang w:val="zh-CN"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pacing w:val="-30"/>
                <w:sz w:val="24"/>
                <w:szCs w:val="24"/>
              </w:rPr>
              <w:t>分</w:t>
            </w:r>
            <w:r>
              <w:rPr>
                <w:rFonts w:hint="eastAsia" w:ascii="宋体" w:hAnsi="宋体" w:eastAsia="宋体" w:cs="宋体"/>
                <w:sz w:val="24"/>
                <w:szCs w:val="24"/>
              </w:rPr>
              <w:t>）</w:t>
            </w:r>
          </w:p>
        </w:tc>
        <w:tc>
          <w:tcPr>
            <w:tcW w:w="7655" w:type="dxa"/>
            <w:noWrap w:val="0"/>
            <w:vAlign w:val="center"/>
          </w:tcPr>
          <w:p w14:paraId="191AD4A7">
            <w:pPr>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根据投标人提供的技术服务维护承诺、设备维护承诺、维护人员配备、维护响应时间及质量承诺等情况，以及提供的后续技术支撑等内容，由评委根据对应分值进行打分。</w:t>
            </w:r>
            <w:r>
              <w:rPr>
                <w:rFonts w:hint="eastAsia" w:ascii="宋体" w:hAnsi="宋体" w:eastAsia="宋体" w:cs="宋体"/>
                <w:bCs/>
                <w:sz w:val="24"/>
                <w:szCs w:val="24"/>
              </w:rPr>
              <w:t>（分值：4、3.5、3、2.5、2、1.5、1、0.5、0分）</w:t>
            </w:r>
          </w:p>
        </w:tc>
      </w:tr>
      <w:tr w14:paraId="723E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dxa"/>
            <w:vMerge w:val="continue"/>
            <w:tcBorders/>
            <w:noWrap w:val="0"/>
            <w:vAlign w:val="center"/>
          </w:tcPr>
          <w:p w14:paraId="71FF332F">
            <w:pPr>
              <w:jc w:val="center"/>
              <w:rPr>
                <w:rFonts w:hint="eastAsia" w:ascii="宋体" w:hAnsi="宋体" w:eastAsia="宋体" w:cs="宋体"/>
                <w:sz w:val="24"/>
                <w:szCs w:val="24"/>
                <w:lang w:val="en-US" w:eastAsia="zh-CN"/>
              </w:rPr>
            </w:pPr>
          </w:p>
        </w:tc>
        <w:tc>
          <w:tcPr>
            <w:tcW w:w="1295" w:type="dxa"/>
            <w:vMerge w:val="continue"/>
            <w:tcBorders/>
            <w:noWrap w:val="0"/>
            <w:vAlign w:val="center"/>
          </w:tcPr>
          <w:p w14:paraId="772174AD">
            <w:pPr>
              <w:jc w:val="center"/>
              <w:rPr>
                <w:rFonts w:hint="eastAsia" w:ascii="宋体" w:hAnsi="宋体" w:eastAsia="宋体" w:cs="宋体"/>
                <w:sz w:val="24"/>
                <w:szCs w:val="24"/>
              </w:rPr>
            </w:pPr>
          </w:p>
        </w:tc>
        <w:tc>
          <w:tcPr>
            <w:tcW w:w="7655" w:type="dxa"/>
            <w:noWrap w:val="0"/>
            <w:vAlign w:val="center"/>
          </w:tcPr>
          <w:p w14:paraId="2DF6F914">
            <w:pPr>
              <w:spacing w:before="100" w:beforeAutospacing="1" w:after="100" w:afterAutospacing="1"/>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根据投标人随产品提供备品备件及耗材是否满足采购需求，且是否确保设备的正常使用等情况，由评委根据对应分值进行打分。</w:t>
            </w:r>
            <w:r>
              <w:rPr>
                <w:rFonts w:hint="eastAsia" w:ascii="宋体" w:hAnsi="宋体" w:eastAsia="宋体" w:cs="宋体"/>
                <w:bCs/>
                <w:sz w:val="24"/>
                <w:szCs w:val="24"/>
              </w:rPr>
              <w:t>（分值：2、1.5、1、0.5、0分）</w:t>
            </w:r>
          </w:p>
        </w:tc>
      </w:tr>
      <w:tr w14:paraId="1D53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dxa"/>
            <w:vMerge w:val="restart"/>
            <w:noWrap w:val="0"/>
            <w:vAlign w:val="center"/>
          </w:tcPr>
          <w:p w14:paraId="755BA40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95" w:type="dxa"/>
            <w:vMerge w:val="restart"/>
            <w:noWrap w:val="0"/>
            <w:vAlign w:val="center"/>
          </w:tcPr>
          <w:p w14:paraId="3A999802">
            <w:pPr>
              <w:jc w:val="center"/>
              <w:rPr>
                <w:rFonts w:hint="eastAsia" w:ascii="宋体" w:hAnsi="宋体" w:eastAsia="宋体" w:cs="宋体"/>
                <w:color w:val="auto"/>
                <w:sz w:val="24"/>
                <w:szCs w:val="24"/>
                <w:highlight w:val="none"/>
                <w:lang w:val="zh-CN" w:eastAsia="zh-Hans"/>
              </w:rPr>
            </w:pPr>
            <w:r>
              <w:rPr>
                <w:rFonts w:hint="eastAsia" w:ascii="宋体" w:hAnsi="宋体" w:eastAsia="宋体" w:cs="宋体"/>
                <w:color w:val="auto"/>
                <w:sz w:val="24"/>
                <w:szCs w:val="24"/>
                <w:highlight w:val="none"/>
                <w:lang w:val="zh-CN" w:eastAsia="zh-Hans"/>
              </w:rPr>
              <w:t>培训方案</w:t>
            </w:r>
          </w:p>
          <w:p w14:paraId="10A1A94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pacing w:val="-30"/>
                <w:sz w:val="24"/>
                <w:szCs w:val="24"/>
              </w:rPr>
              <w:t>分</w:t>
            </w:r>
            <w:r>
              <w:rPr>
                <w:rFonts w:hint="eastAsia" w:ascii="宋体" w:hAnsi="宋体" w:eastAsia="宋体" w:cs="宋体"/>
                <w:sz w:val="24"/>
                <w:szCs w:val="24"/>
              </w:rPr>
              <w:t>）</w:t>
            </w:r>
          </w:p>
        </w:tc>
        <w:tc>
          <w:tcPr>
            <w:tcW w:w="7655" w:type="dxa"/>
            <w:noWrap w:val="0"/>
            <w:vAlign w:val="center"/>
          </w:tcPr>
          <w:p w14:paraId="08C0EF25">
            <w:pPr>
              <w:pStyle w:val="7"/>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根据投标人提供的培训方案进行打分，内容包含但不限于培训内容、培训计划、培训团队技术实力以及操作手册等内容，由评委根据对应分值进行打分。（分值：3、2.5、2、1.5、1、0.5、0分）</w:t>
            </w:r>
          </w:p>
        </w:tc>
      </w:tr>
      <w:tr w14:paraId="28C2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dxa"/>
            <w:vMerge w:val="continue"/>
            <w:tcBorders/>
            <w:noWrap w:val="0"/>
            <w:vAlign w:val="center"/>
          </w:tcPr>
          <w:p w14:paraId="7EF4D548">
            <w:pPr>
              <w:jc w:val="center"/>
              <w:rPr>
                <w:rFonts w:hint="eastAsia" w:ascii="宋体" w:hAnsi="宋体" w:eastAsia="宋体" w:cs="宋体"/>
                <w:sz w:val="24"/>
                <w:szCs w:val="24"/>
                <w:lang w:val="en-US" w:eastAsia="zh-CN"/>
              </w:rPr>
            </w:pPr>
          </w:p>
        </w:tc>
        <w:tc>
          <w:tcPr>
            <w:tcW w:w="1295" w:type="dxa"/>
            <w:vMerge w:val="continue"/>
            <w:tcBorders/>
            <w:noWrap w:val="0"/>
            <w:vAlign w:val="center"/>
          </w:tcPr>
          <w:p w14:paraId="4AE5E280">
            <w:pPr>
              <w:jc w:val="center"/>
              <w:rPr>
                <w:rFonts w:hint="eastAsia" w:ascii="宋体" w:hAnsi="宋体" w:eastAsia="宋体" w:cs="宋体"/>
                <w:sz w:val="24"/>
                <w:szCs w:val="24"/>
              </w:rPr>
            </w:pPr>
          </w:p>
        </w:tc>
        <w:tc>
          <w:tcPr>
            <w:tcW w:w="7655" w:type="dxa"/>
            <w:noWrap w:val="0"/>
            <w:vAlign w:val="center"/>
          </w:tcPr>
          <w:p w14:paraId="71D1466F">
            <w:pPr>
              <w:pStyle w:val="7"/>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2、</w:t>
            </w:r>
            <w:r>
              <w:rPr>
                <w:rFonts w:hint="eastAsia" w:ascii="宋体" w:hAnsi="宋体" w:eastAsia="宋体" w:cs="宋体"/>
                <w:color w:val="auto"/>
                <w:sz w:val="24"/>
                <w:szCs w:val="24"/>
                <w:highlight w:val="none"/>
                <w:lang w:val="zh-CN" w:eastAsia="zh-Hans"/>
              </w:rPr>
              <w:t>投标人具有省级（含）以上培训机构资质5年以上计1分，8年以上的</w:t>
            </w:r>
            <w:r>
              <w:rPr>
                <w:rFonts w:hint="eastAsia" w:ascii="宋体" w:hAnsi="宋体" w:eastAsia="宋体" w:cs="宋体"/>
                <w:color w:val="auto"/>
                <w:sz w:val="24"/>
                <w:szCs w:val="24"/>
                <w:highlight w:val="none"/>
                <w:lang w:val="en-US" w:eastAsia="zh-Hans"/>
              </w:rPr>
              <w:t>计2</w:t>
            </w:r>
            <w:r>
              <w:rPr>
                <w:rFonts w:hint="eastAsia" w:ascii="宋体" w:hAnsi="宋体" w:eastAsia="宋体" w:cs="宋体"/>
                <w:color w:val="auto"/>
                <w:sz w:val="24"/>
                <w:szCs w:val="24"/>
                <w:highlight w:val="none"/>
                <w:lang w:val="zh-CN" w:eastAsia="zh-Hans"/>
              </w:rPr>
              <w:t>分。（提供培训机构的办学许可证复印件，原件</w:t>
            </w:r>
            <w:r>
              <w:rPr>
                <w:rFonts w:hint="eastAsia" w:ascii="宋体" w:hAnsi="宋体" w:eastAsia="宋体" w:cs="宋体"/>
                <w:color w:val="auto"/>
                <w:sz w:val="24"/>
                <w:szCs w:val="24"/>
                <w:highlight w:val="none"/>
                <w:lang w:val="en-US" w:eastAsia="zh-Hans"/>
              </w:rPr>
              <w:t>核</w:t>
            </w:r>
            <w:r>
              <w:rPr>
                <w:rFonts w:hint="eastAsia" w:ascii="宋体" w:hAnsi="宋体" w:eastAsia="宋体" w:cs="宋体"/>
                <w:color w:val="auto"/>
                <w:sz w:val="24"/>
                <w:szCs w:val="24"/>
                <w:highlight w:val="none"/>
                <w:lang w:val="zh-CN" w:eastAsia="zh-Hans"/>
              </w:rPr>
              <w:t>查）</w:t>
            </w:r>
          </w:p>
        </w:tc>
      </w:tr>
    </w:tbl>
    <w:p w14:paraId="61EA583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Calibri">
    <w:altName w:val="Arial Rounded MT Bold"/>
    <w:panose1 w:val="020F0502020204030204"/>
    <w:charset w:val="86"/>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15B54"/>
    <w:rsid w:val="64087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b/>
      <w:bCs/>
      <w:caps/>
      <w:sz w:val="20"/>
      <w:szCs w:val="20"/>
    </w:rPr>
  </w:style>
  <w:style w:type="paragraph" w:styleId="3">
    <w:name w:val="Body Text"/>
    <w:basedOn w:val="1"/>
    <w:next w:val="4"/>
    <w:qFormat/>
    <w:uiPriority w:val="0"/>
    <w:rPr>
      <w:sz w:val="24"/>
    </w:rPr>
  </w:style>
  <w:style w:type="paragraph" w:customStyle="1" w:styleId="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Plain Text"/>
    <w:basedOn w:val="1"/>
    <w:next w:val="1"/>
    <w:qFormat/>
    <w:uiPriority w:val="99"/>
    <w:rPr>
      <w:rFonts w:ascii="宋体" w:hAnsi="Courier New"/>
      <w:szCs w:val="20"/>
    </w:rPr>
  </w:style>
  <w:style w:type="paragraph" w:styleId="8">
    <w:name w:val="Body Text First Indent 2"/>
    <w:basedOn w:val="5"/>
    <w:next w:val="1"/>
    <w:qFormat/>
    <w:uiPriority w:val="0"/>
    <w:pPr>
      <w:widowControl w:val="0"/>
      <w:ind w:firstLine="420" w:firstLineChars="200"/>
    </w:pPr>
    <w:rPr>
      <w:rFonts w:ascii="Times New Roman" w:hAnsi="Times New Roman" w:cs="Times New Roman"/>
      <w:sz w:val="21"/>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2495</Words>
  <Characters>2659</Characters>
  <Lines>0</Lines>
  <Paragraphs>0</Paragraphs>
  <TotalTime>1</TotalTime>
  <ScaleCrop>false</ScaleCrop>
  <LinksUpToDate>false</LinksUpToDate>
  <CharactersWithSpaces>2662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2024-08-21T09:59:00Z</dcterms:created>
  <dc:creator>Administrator</dc:creator>
  <cp:lastModifiedBy>【】</cp:lastModifiedBy>
  <dcterms:modified xsi:type="dcterms:W3CDTF">2025-07-03T07:43:12Z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7125B6A283384B5B9F58ABC59F169A15_12</vt:lpwstr>
  </property>
  <property fmtid="{D5CDD505-2E9C-101B-9397-08002B2CF9AE}" pid="4" name="KSOTemplateDocerSaveRecord">
    <vt:lpwstr>eyJoZGlkIjoiNGFlN2NjZjJmYzhiY2EyNjcwZjBlYjRhY2Y3NDk2NDAiLCJ1c2VySWQiOiI0MDc2MzIwNTIifQ==</vt:lpwstr>
  </property>
</Properties>
</file>