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148" w:tblpY="30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9"/>
        <w:gridCol w:w="1650"/>
        <w:gridCol w:w="5045"/>
      </w:tblGrid>
      <w:tr w14:paraId="6175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noWrap w:val="0"/>
            <w:vAlign w:val="top"/>
          </w:tcPr>
          <w:p w14:paraId="3E280ACA">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74" w:type="pct"/>
            <w:noWrap w:val="0"/>
            <w:vAlign w:val="top"/>
          </w:tcPr>
          <w:p w14:paraId="696C1DA3">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评分因素及权值</w:t>
            </w:r>
          </w:p>
        </w:tc>
        <w:tc>
          <w:tcPr>
            <w:tcW w:w="968" w:type="pct"/>
            <w:noWrap w:val="0"/>
            <w:vAlign w:val="top"/>
          </w:tcPr>
          <w:p w14:paraId="74306E50">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分值</w:t>
            </w:r>
          </w:p>
        </w:tc>
        <w:tc>
          <w:tcPr>
            <w:tcW w:w="2960" w:type="pct"/>
            <w:noWrap w:val="0"/>
            <w:vAlign w:val="top"/>
          </w:tcPr>
          <w:p w14:paraId="4A751117">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评分标准</w:t>
            </w:r>
          </w:p>
        </w:tc>
      </w:tr>
      <w:tr w14:paraId="0BA5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noWrap w:val="0"/>
            <w:vAlign w:val="center"/>
          </w:tcPr>
          <w:p w14:paraId="02AEFAD7">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w:t>
            </w:r>
          </w:p>
        </w:tc>
        <w:tc>
          <w:tcPr>
            <w:tcW w:w="674" w:type="pct"/>
            <w:noWrap w:val="0"/>
            <w:vAlign w:val="center"/>
          </w:tcPr>
          <w:p w14:paraId="002DB04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14:paraId="01D5C94C">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p>
        </w:tc>
        <w:tc>
          <w:tcPr>
            <w:tcW w:w="968" w:type="pct"/>
            <w:noWrap w:val="0"/>
            <w:vAlign w:val="center"/>
          </w:tcPr>
          <w:p w14:paraId="354FD6C4">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0分</w:t>
            </w:r>
          </w:p>
        </w:tc>
        <w:tc>
          <w:tcPr>
            <w:tcW w:w="2960" w:type="pct"/>
            <w:noWrap w:val="0"/>
            <w:vAlign w:val="center"/>
          </w:tcPr>
          <w:p w14:paraId="4B8E5127">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both"/>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有效的投标报价中的最低价为评标基准价，按照下列公式计算每个投标人的投标价格得分。投标报价得分=（评标基准价/投标报价）*价格权重*100%</w:t>
            </w:r>
          </w:p>
        </w:tc>
      </w:tr>
      <w:tr w14:paraId="3C23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restart"/>
            <w:noWrap w:val="0"/>
            <w:vAlign w:val="center"/>
          </w:tcPr>
          <w:p w14:paraId="70B5A428">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w:t>
            </w:r>
          </w:p>
        </w:tc>
        <w:tc>
          <w:tcPr>
            <w:tcW w:w="674" w:type="pct"/>
            <w:vMerge w:val="restart"/>
            <w:noWrap w:val="0"/>
            <w:vAlign w:val="center"/>
          </w:tcPr>
          <w:p w14:paraId="706390F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p w14:paraId="01B5ABB1">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w:t>
            </w:r>
          </w:p>
        </w:tc>
        <w:tc>
          <w:tcPr>
            <w:tcW w:w="968" w:type="pct"/>
            <w:noWrap w:val="0"/>
            <w:vAlign w:val="center"/>
          </w:tcPr>
          <w:p w14:paraId="68FA967A">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40</w:t>
            </w:r>
            <w:r>
              <w:rPr>
                <w:rFonts w:hint="eastAsia" w:ascii="宋体" w:hAnsi="宋体" w:eastAsia="宋体" w:cs="宋体"/>
                <w:color w:val="000000"/>
                <w:sz w:val="24"/>
                <w:szCs w:val="24"/>
                <w:highlight w:val="none"/>
                <w:lang w:val="en-US" w:eastAsia="zh-CN"/>
              </w:rPr>
              <w:t>分</w:t>
            </w:r>
          </w:p>
        </w:tc>
        <w:tc>
          <w:tcPr>
            <w:tcW w:w="2960" w:type="pct"/>
            <w:noWrap w:val="0"/>
            <w:vAlign w:val="top"/>
          </w:tcPr>
          <w:p w14:paraId="395081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①其中标“★”为重要技术指标，任一项负偏离视为无效投标；</w:t>
            </w:r>
          </w:p>
          <w:p w14:paraId="176CAD5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②标注</w:t>
            </w:r>
            <w:r>
              <w:rPr>
                <w:rFonts w:hint="eastAsia" w:ascii="宋体" w:hAnsi="宋体" w:eastAsia="宋体" w:cs="宋体"/>
              </w:rPr>
              <w:t>▲</w:t>
            </w:r>
            <w:r>
              <w:rPr>
                <w:rFonts w:hint="eastAsia" w:ascii="宋体" w:hAnsi="宋体" w:eastAsia="宋体" w:cs="宋体"/>
                <w:kern w:val="0"/>
                <w:sz w:val="24"/>
                <w:szCs w:val="24"/>
                <w:lang w:val="en-US" w:eastAsia="zh-CN" w:bidi="ar-SA"/>
              </w:rPr>
              <w:t>的内容，共20分，每负偏离一项扣5分（超过4条不满足不得分），最多扣20分；</w:t>
            </w:r>
          </w:p>
          <w:p w14:paraId="2E87FCE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kern w:val="0"/>
                <w:sz w:val="24"/>
                <w:szCs w:val="24"/>
                <w:lang w:val="en-US" w:eastAsia="zh-CN" w:bidi="ar-SA"/>
              </w:rPr>
              <w:t>③未标注★或▲的内容，共20分，每负偏离一项扣1分（超过20条不满足不得分），最多扣20分。</w:t>
            </w:r>
          </w:p>
        </w:tc>
      </w:tr>
      <w:tr w14:paraId="22F0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continue"/>
            <w:noWrap w:val="0"/>
            <w:vAlign w:val="center"/>
          </w:tcPr>
          <w:p w14:paraId="6487BE48">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rPr>
            </w:pPr>
          </w:p>
        </w:tc>
        <w:tc>
          <w:tcPr>
            <w:tcW w:w="674" w:type="pct"/>
            <w:vMerge w:val="continue"/>
            <w:noWrap w:val="0"/>
            <w:vAlign w:val="center"/>
          </w:tcPr>
          <w:p w14:paraId="35E8B66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tc>
        <w:tc>
          <w:tcPr>
            <w:tcW w:w="968" w:type="pct"/>
            <w:noWrap w:val="0"/>
            <w:vAlign w:val="center"/>
          </w:tcPr>
          <w:p w14:paraId="67BC7E63">
            <w:pPr>
              <w:pStyle w:val="9"/>
              <w:keepNext w:val="0"/>
              <w:keepLines w:val="0"/>
              <w:pageBreakBefore w:val="0"/>
              <w:widowControl w:val="0"/>
              <w:kinsoku/>
              <w:wordWrap/>
              <w:overflowPunct/>
              <w:topLinePunct w:val="0"/>
              <w:autoSpaceDE/>
              <w:autoSpaceDN/>
              <w:bidi w:val="0"/>
              <w:adjustRightInd/>
              <w:spacing w:before="0" w:after="0" w:line="360" w:lineRule="auto"/>
              <w:ind w:right="0" w:righ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技术方案（</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2960" w:type="pct"/>
            <w:noWrap w:val="0"/>
            <w:vAlign w:val="top"/>
          </w:tcPr>
          <w:p w14:paraId="50D4F254">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针对技术方案是否全面，能否满足本项目建设需求的所有内容，同时根据技术方案合理性、内容全面性、逻辑清晰性、系统截图完整性、系统的扩展能力、灵活应变能力、数据兼容进行评价；</w:t>
            </w:r>
          </w:p>
          <w:p w14:paraId="1EC3F3A0">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第一档次：提供的方案详细完整、合理可行、针对性强,方案中系统功能方案描述清晰，提供系统技术架构设计优秀，系统的扩展能力、灵活应变能力、数据兼容性强，系统性能设计满足用户需求</w:t>
            </w:r>
            <w:r>
              <w:rPr>
                <w:rFonts w:hint="eastAsia" w:ascii="宋体" w:hAnsi="宋体" w:cs="宋体"/>
                <w:color w:val="000000"/>
                <w:kern w:val="1"/>
                <w:sz w:val="24"/>
                <w:szCs w:val="24"/>
                <w:highlight w:val="none"/>
                <w:lang w:val="en-US" w:eastAsia="zh-CN" w:bidi="ar-SA"/>
              </w:rPr>
              <w:t>10</w:t>
            </w:r>
            <w:r>
              <w:rPr>
                <w:rFonts w:hint="eastAsia" w:ascii="宋体" w:hAnsi="宋体" w:eastAsia="宋体" w:cs="宋体"/>
                <w:color w:val="000000"/>
                <w:kern w:val="1"/>
                <w:sz w:val="24"/>
                <w:szCs w:val="24"/>
                <w:highlight w:val="none"/>
                <w:lang w:val="en-US" w:eastAsia="zh-CN" w:bidi="ar-SA"/>
              </w:rPr>
              <w:t>分</w:t>
            </w:r>
          </w:p>
          <w:p w14:paraId="3662EC24">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第二档次：方案简单合理得</w:t>
            </w:r>
            <w:r>
              <w:rPr>
                <w:rFonts w:hint="eastAsia" w:ascii="宋体" w:hAnsi="宋体" w:cs="宋体"/>
                <w:color w:val="000000"/>
                <w:kern w:val="1"/>
                <w:sz w:val="24"/>
                <w:szCs w:val="24"/>
                <w:highlight w:val="none"/>
                <w:lang w:val="en-US" w:eastAsia="zh-CN" w:bidi="ar-SA"/>
              </w:rPr>
              <w:t>5</w:t>
            </w:r>
            <w:r>
              <w:rPr>
                <w:rFonts w:hint="eastAsia" w:ascii="宋体" w:hAnsi="宋体" w:eastAsia="宋体" w:cs="宋体"/>
                <w:color w:val="000000"/>
                <w:kern w:val="1"/>
                <w:sz w:val="24"/>
                <w:szCs w:val="24"/>
                <w:highlight w:val="none"/>
                <w:lang w:val="en-US" w:eastAsia="zh-CN" w:bidi="ar-SA"/>
              </w:rPr>
              <w:t>分</w:t>
            </w:r>
          </w:p>
          <w:p w14:paraId="0E8D940C">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color w:val="000000"/>
                <w:kern w:val="1"/>
                <w:sz w:val="24"/>
                <w:szCs w:val="24"/>
                <w:highlight w:val="none"/>
                <w:lang w:val="en-US" w:eastAsia="zh-CN" w:bidi="ar-SA"/>
              </w:rPr>
              <w:t>第三档次：方案存在内容欠缺得1分。</w:t>
            </w:r>
          </w:p>
          <w:p w14:paraId="1B86312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kern w:val="1"/>
                <w:sz w:val="24"/>
                <w:szCs w:val="24"/>
                <w:highlight w:val="none"/>
                <w:lang w:val="en-US" w:eastAsia="zh-CN" w:bidi="ar-SA"/>
              </w:rPr>
              <w:t>未编写不得分。</w:t>
            </w:r>
          </w:p>
        </w:tc>
      </w:tr>
      <w:tr w14:paraId="35A8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restart"/>
            <w:noWrap w:val="0"/>
            <w:vAlign w:val="top"/>
          </w:tcPr>
          <w:p w14:paraId="04665DB2">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31CFE6BD">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76A19D88">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5BDDF122">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75C33396">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6F0A05C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0AA913E2">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0A87065D">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21C4728E">
            <w:pPr>
              <w:keepNext w:val="0"/>
              <w:keepLines w:val="0"/>
              <w:pageBreakBefore w:val="0"/>
              <w:widowControl w:val="0"/>
              <w:kinsoku/>
              <w:wordWrap/>
              <w:overflowPunct/>
              <w:topLinePunct w:val="0"/>
              <w:autoSpaceDE/>
              <w:autoSpaceDN/>
              <w:bidi w:val="0"/>
              <w:adjustRightInd/>
              <w:spacing w:line="360" w:lineRule="auto"/>
              <w:ind w:right="0" w:rightChars="0" w:firstLine="28"/>
              <w:jc w:val="both"/>
              <w:textAlignment w:val="auto"/>
              <w:rPr>
                <w:rFonts w:hint="eastAsia" w:ascii="宋体" w:hAnsi="宋体" w:eastAsia="宋体" w:cs="宋体"/>
                <w:sz w:val="24"/>
                <w:szCs w:val="24"/>
                <w:highlight w:val="none"/>
              </w:rPr>
            </w:pPr>
          </w:p>
          <w:p w14:paraId="7DC1B71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74" w:type="pct"/>
            <w:vMerge w:val="restart"/>
            <w:noWrap w:val="0"/>
            <w:vAlign w:val="top"/>
          </w:tcPr>
          <w:p w14:paraId="62D02C8E">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066EDE22">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0B78BE55">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3A804410">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58C9934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1C3FBF5E">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19AE0594">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p>
          <w:p w14:paraId="25EA5D8E">
            <w:pPr>
              <w:keepNext w:val="0"/>
              <w:keepLines w:val="0"/>
              <w:pageBreakBefore w:val="0"/>
              <w:widowControl w:val="0"/>
              <w:kinsoku/>
              <w:wordWrap/>
              <w:overflowPunct/>
              <w:topLinePunct w:val="0"/>
              <w:autoSpaceDE/>
              <w:autoSpaceDN/>
              <w:bidi w:val="0"/>
              <w:adjustRightInd/>
              <w:spacing w:line="360" w:lineRule="auto"/>
              <w:ind w:right="0" w:rightChars="0" w:firstLine="28"/>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商务部分</w:t>
            </w:r>
          </w:p>
          <w:p w14:paraId="3F9BE4D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tc>
        <w:tc>
          <w:tcPr>
            <w:tcW w:w="968" w:type="pct"/>
            <w:noWrap w:val="0"/>
            <w:vAlign w:val="top"/>
          </w:tcPr>
          <w:p w14:paraId="7C9EF13A">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项目实施方案及实施计划及保证措施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6分</w:t>
            </w:r>
            <w:r>
              <w:rPr>
                <w:rFonts w:hint="eastAsia" w:ascii="宋体" w:hAnsi="宋体" w:eastAsia="宋体" w:cs="宋体"/>
                <w:sz w:val="24"/>
                <w:szCs w:val="24"/>
                <w:highlight w:val="none"/>
                <w:lang w:eastAsia="zh-CN"/>
              </w:rPr>
              <w:t>）</w:t>
            </w:r>
          </w:p>
        </w:tc>
        <w:tc>
          <w:tcPr>
            <w:tcW w:w="2960" w:type="pct"/>
            <w:noWrap w:val="0"/>
            <w:vAlign w:val="top"/>
          </w:tcPr>
          <w:p w14:paraId="01CA58A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b/>
                <w:bCs/>
                <w:color w:val="000000"/>
                <w:kern w:val="1"/>
                <w:sz w:val="24"/>
                <w:szCs w:val="24"/>
                <w:highlight w:val="none"/>
                <w:lang w:val="en-US" w:eastAsia="zh-CN" w:bidi="ar-SA"/>
              </w:rPr>
              <w:t>第一档次：</w:t>
            </w:r>
            <w:r>
              <w:rPr>
                <w:rFonts w:hint="eastAsia" w:ascii="宋体" w:hAnsi="宋体" w:eastAsia="宋体" w:cs="宋体"/>
                <w:color w:val="000000"/>
                <w:kern w:val="1"/>
                <w:sz w:val="24"/>
                <w:szCs w:val="24"/>
                <w:highlight w:val="none"/>
                <w:lang w:val="en-US" w:eastAsia="zh-CN" w:bidi="ar-SA"/>
              </w:rPr>
              <w:t>有详细完整的项目实施计划及保证措施，计划合理，步骤清晰，各个实施阶段说明完整的，具有项目建设、进度控制措施，整体项目实施方案科学、合理、可行，对本项目有较强的针对性，得6分；</w:t>
            </w:r>
          </w:p>
          <w:p w14:paraId="7D63DED8">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b/>
                <w:bCs/>
                <w:color w:val="000000"/>
                <w:kern w:val="1"/>
                <w:sz w:val="24"/>
                <w:szCs w:val="24"/>
                <w:highlight w:val="none"/>
                <w:lang w:val="en-US" w:eastAsia="zh-CN" w:bidi="ar-SA"/>
              </w:rPr>
              <w:t>第二档次：</w:t>
            </w:r>
            <w:r>
              <w:rPr>
                <w:rFonts w:hint="eastAsia" w:ascii="宋体" w:hAnsi="宋体" w:eastAsia="宋体" w:cs="宋体"/>
                <w:color w:val="000000"/>
                <w:kern w:val="1"/>
                <w:sz w:val="24"/>
                <w:szCs w:val="24"/>
                <w:highlight w:val="none"/>
                <w:lang w:val="en-US" w:eastAsia="zh-CN" w:bidi="ar-SA"/>
              </w:rPr>
              <w:t>有完整的项目实施计划及保证措施，能够满足本项目的实施，整体项目实施方案较为合理、可行，对本项目有一定针对性，得3分</w:t>
            </w:r>
          </w:p>
          <w:p w14:paraId="4B936261">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000000"/>
                <w:kern w:val="1"/>
                <w:sz w:val="24"/>
                <w:szCs w:val="24"/>
                <w:highlight w:val="none"/>
                <w:lang w:val="en-US" w:eastAsia="zh-CN" w:bidi="ar-SA"/>
              </w:rPr>
            </w:pPr>
            <w:r>
              <w:rPr>
                <w:rFonts w:hint="eastAsia" w:ascii="宋体" w:hAnsi="宋体" w:eastAsia="宋体" w:cs="宋体"/>
                <w:b/>
                <w:bCs/>
                <w:color w:val="000000"/>
                <w:kern w:val="1"/>
                <w:sz w:val="24"/>
                <w:szCs w:val="24"/>
                <w:highlight w:val="none"/>
                <w:lang w:val="en-US" w:eastAsia="zh-CN" w:bidi="ar-SA"/>
              </w:rPr>
              <w:t>第三档次：</w:t>
            </w:r>
            <w:r>
              <w:rPr>
                <w:rFonts w:hint="eastAsia" w:ascii="宋体" w:hAnsi="宋体" w:eastAsia="宋体" w:cs="宋体"/>
                <w:color w:val="000000"/>
                <w:kern w:val="1"/>
                <w:sz w:val="24"/>
                <w:szCs w:val="24"/>
                <w:highlight w:val="none"/>
                <w:lang w:val="en-US" w:eastAsia="zh-CN" w:bidi="ar-SA"/>
              </w:rPr>
              <w:t>有项目实施方案，能基本满足本项目的实施，整体项目实施方案可行，得1分。</w:t>
            </w:r>
          </w:p>
          <w:p w14:paraId="5372A709">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1"/>
                <w:sz w:val="24"/>
                <w:szCs w:val="24"/>
                <w:highlight w:val="none"/>
                <w:lang w:val="en-US" w:eastAsia="zh-CN" w:bidi="ar-SA"/>
              </w:rPr>
              <w:t>未编写项目实施方案及实施计划及保证措施的不得分。</w:t>
            </w:r>
          </w:p>
        </w:tc>
      </w:tr>
      <w:tr w14:paraId="4633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continue"/>
            <w:noWrap w:val="0"/>
            <w:vAlign w:val="top"/>
          </w:tcPr>
          <w:p w14:paraId="02C9282C">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74" w:type="pct"/>
            <w:vMerge w:val="continue"/>
            <w:noWrap w:val="0"/>
            <w:vAlign w:val="top"/>
          </w:tcPr>
          <w:p w14:paraId="24E4F7D1">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968" w:type="pct"/>
            <w:noWrap w:val="0"/>
            <w:vAlign w:val="center"/>
          </w:tcPr>
          <w:p w14:paraId="479183BB">
            <w:pPr>
              <w:keepNext w:val="0"/>
              <w:keepLines w:val="0"/>
              <w:pageBreakBefore w:val="0"/>
              <w:widowControl w:val="0"/>
              <w:kinsoku/>
              <w:wordWrap/>
              <w:overflowPunct/>
              <w:topLinePunct w:val="0"/>
              <w:autoSpaceDE/>
              <w:autoSpaceDN/>
              <w:bidi w:val="0"/>
              <w:adjustRightInd/>
              <w:spacing w:line="360" w:lineRule="auto"/>
              <w:ind w:right="0" w:rightChars="0" w:firstLine="2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售后服务能力</w:t>
            </w:r>
          </w:p>
          <w:p w14:paraId="4EBAAE56">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tc>
        <w:tc>
          <w:tcPr>
            <w:tcW w:w="2960" w:type="pct"/>
            <w:noWrap w:val="0"/>
            <w:vAlign w:val="top"/>
          </w:tcPr>
          <w:p w14:paraId="43ED7476">
            <w:pPr>
              <w:pStyle w:val="10"/>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第一档次：</w:t>
            </w:r>
            <w:r>
              <w:rPr>
                <w:rFonts w:hint="eastAsia" w:ascii="宋体" w:hAnsi="宋体" w:eastAsia="宋体" w:cs="宋体"/>
                <w:kern w:val="0"/>
                <w:sz w:val="24"/>
                <w:szCs w:val="24"/>
              </w:rPr>
              <w:t>售后条件好，售后服务响应时间短，服务技术能力强，售后服务内容及承诺特别全面，有具体的保证措施且合理、可行，能较好的满足本项目要求，得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p>
          <w:p w14:paraId="62D23683">
            <w:pPr>
              <w:pStyle w:val="10"/>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第二档次:</w:t>
            </w:r>
            <w:r>
              <w:rPr>
                <w:rFonts w:hint="eastAsia" w:ascii="宋体" w:hAnsi="宋体" w:eastAsia="宋体" w:cs="宋体"/>
                <w:kern w:val="0"/>
                <w:sz w:val="24"/>
                <w:szCs w:val="24"/>
              </w:rPr>
              <w:t xml:space="preserve"> 售后条件较好，售后服务响应时间较长，服务技术能力较强，售后服务内容及承诺较全面，有具体的保证措施且合理、可行，能基本满足本项目要求，得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14:paraId="0A4173F2">
            <w:pPr>
              <w:pStyle w:val="10"/>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第三档次：</w:t>
            </w:r>
            <w:r>
              <w:rPr>
                <w:rFonts w:hint="eastAsia" w:ascii="宋体" w:hAnsi="宋体" w:eastAsia="宋体" w:cs="宋体"/>
                <w:kern w:val="0"/>
                <w:sz w:val="24"/>
                <w:szCs w:val="24"/>
              </w:rPr>
              <w:t>售后条件一般，售后服务响应一般，服务技术能力一般，售后服务内容及承诺一般，有具体的保证措施且基本合理、可行，能基本满足本项目要求，得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分；</w:t>
            </w:r>
          </w:p>
          <w:p w14:paraId="596C519C">
            <w:pPr>
              <w:pStyle w:val="10"/>
              <w:keepNext w:val="0"/>
              <w:keepLines w:val="0"/>
              <w:pageBreakBefore w:val="0"/>
              <w:widowControl w:val="0"/>
              <w:kinsoku/>
              <w:wordWrap/>
              <w:overflowPunct/>
              <w:topLinePunct w:val="0"/>
              <w:autoSpaceDE/>
              <w:autoSpaceDN/>
              <w:bidi w:val="0"/>
              <w:adjustRightInd/>
              <w:spacing w:line="360" w:lineRule="auto"/>
              <w:ind w:right="0" w:rightChars="0" w:firstLine="0" w:firstLineChars="0"/>
              <w:jc w:val="left"/>
              <w:textAlignment w:val="auto"/>
              <w:rPr>
                <w:rFonts w:hint="eastAsia" w:ascii="宋体" w:hAnsi="宋体" w:eastAsia="宋体" w:cs="宋体"/>
                <w:kern w:val="0"/>
                <w:sz w:val="24"/>
                <w:szCs w:val="24"/>
                <w:highlight w:val="none"/>
                <w:lang w:eastAsia="en-US" w:bidi="en-US"/>
              </w:rPr>
            </w:pPr>
            <w:r>
              <w:rPr>
                <w:rFonts w:hint="eastAsia" w:ascii="宋体" w:hAnsi="宋体" w:eastAsia="宋体" w:cs="宋体"/>
                <w:kern w:val="0"/>
                <w:sz w:val="24"/>
                <w:szCs w:val="24"/>
              </w:rPr>
              <w:t>未编写不得分。</w:t>
            </w:r>
          </w:p>
        </w:tc>
      </w:tr>
      <w:tr w14:paraId="7B4A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continue"/>
            <w:noWrap w:val="0"/>
            <w:vAlign w:val="top"/>
          </w:tcPr>
          <w:p w14:paraId="603C5E1A">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74" w:type="pct"/>
            <w:vMerge w:val="continue"/>
            <w:noWrap w:val="0"/>
            <w:vAlign w:val="top"/>
          </w:tcPr>
          <w:p w14:paraId="08F1EE37">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968" w:type="pct"/>
            <w:noWrap w:val="0"/>
            <w:vAlign w:val="center"/>
          </w:tcPr>
          <w:p w14:paraId="7BD3DA21">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cs="宋体" w:eastAsiaTheme="minorEastAsia"/>
                <w:kern w:val="0"/>
                <w:sz w:val="24"/>
                <w:szCs w:val="24"/>
                <w:lang w:val="en-US" w:eastAsia="zh-CN" w:bidi="ar-SA"/>
              </w:rPr>
            </w:pPr>
            <w:r>
              <w:rPr>
                <w:rFonts w:hint="eastAsia" w:ascii="仿宋" w:hAnsi="仿宋" w:cs="仿宋"/>
                <w:sz w:val="24"/>
                <w:szCs w:val="24"/>
              </w:rPr>
              <w:t>类似业绩</w:t>
            </w:r>
            <w:r>
              <w:rPr>
                <w:rFonts w:hint="eastAsia" w:ascii="仿宋" w:hAnsi="仿宋" w:cs="仿宋"/>
                <w:sz w:val="24"/>
                <w:szCs w:val="24"/>
                <w:lang w:eastAsia="zh-CN"/>
              </w:rPr>
              <w:t>（</w:t>
            </w:r>
            <w:r>
              <w:rPr>
                <w:rFonts w:hint="eastAsia" w:ascii="仿宋" w:hAnsi="仿宋" w:cs="仿宋"/>
                <w:sz w:val="24"/>
                <w:szCs w:val="24"/>
                <w:lang w:val="en-US" w:eastAsia="zh-CN"/>
              </w:rPr>
              <w:t>2分</w:t>
            </w:r>
            <w:r>
              <w:rPr>
                <w:rFonts w:hint="eastAsia" w:ascii="仿宋" w:hAnsi="仿宋" w:cs="仿宋"/>
                <w:sz w:val="24"/>
                <w:szCs w:val="24"/>
                <w:lang w:eastAsia="zh-CN"/>
              </w:rPr>
              <w:t>）</w:t>
            </w:r>
          </w:p>
        </w:tc>
        <w:tc>
          <w:tcPr>
            <w:tcW w:w="2960" w:type="pct"/>
            <w:noWrap w:val="0"/>
            <w:vAlign w:val="top"/>
          </w:tcPr>
          <w:p w14:paraId="7C7D4996">
            <w:pPr>
              <w:spacing w:line="360" w:lineRule="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制造厂商2021年1月以来承担过类似的项目业绩（以合同签订时间为准），每项得1分，满分2分。</w:t>
            </w:r>
          </w:p>
        </w:tc>
      </w:tr>
      <w:tr w14:paraId="1615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96" w:type="pct"/>
            <w:vMerge w:val="continue"/>
            <w:noWrap w:val="0"/>
            <w:vAlign w:val="top"/>
          </w:tcPr>
          <w:p w14:paraId="4E7E5770">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674" w:type="pct"/>
            <w:vMerge w:val="continue"/>
            <w:noWrap w:val="0"/>
            <w:vAlign w:val="top"/>
          </w:tcPr>
          <w:p w14:paraId="4F0897E6">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p>
        </w:tc>
        <w:tc>
          <w:tcPr>
            <w:tcW w:w="968" w:type="pct"/>
            <w:noWrap w:val="0"/>
            <w:vAlign w:val="center"/>
          </w:tcPr>
          <w:p w14:paraId="240D733D">
            <w:pPr>
              <w:keepNext w:val="0"/>
              <w:keepLines w:val="0"/>
              <w:pageBreakBefore w:val="0"/>
              <w:widowControl w:val="0"/>
              <w:kinsoku/>
              <w:wordWrap/>
              <w:overflowPunct/>
              <w:topLinePunct w:val="0"/>
              <w:autoSpaceDE/>
              <w:autoSpaceDN/>
              <w:bidi w:val="0"/>
              <w:adjustRightInd/>
              <w:spacing w:line="360" w:lineRule="auto"/>
              <w:ind w:right="0" w:rightChars="0" w:firstLine="28" w:firstLineChars="0"/>
              <w:jc w:val="center"/>
              <w:textAlignment w:val="auto"/>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bidi="ar-SA"/>
              </w:rPr>
              <w:t>企业实力（</w:t>
            </w:r>
            <w:r>
              <w:rPr>
                <w:rFonts w:hint="eastAsia" w:ascii="宋体" w:hAnsi="宋体" w:cs="宋体"/>
                <w:kern w:val="0"/>
                <w:sz w:val="24"/>
                <w:szCs w:val="24"/>
                <w:lang w:val="en-US" w:eastAsia="zh-CN" w:bidi="ar-SA"/>
              </w:rPr>
              <w:t>6</w:t>
            </w:r>
            <w:r>
              <w:rPr>
                <w:rFonts w:hint="eastAsia" w:ascii="宋体" w:hAnsi="宋体" w:eastAsia="宋体" w:cs="宋体"/>
                <w:kern w:val="0"/>
                <w:sz w:val="24"/>
                <w:szCs w:val="24"/>
                <w:lang w:val="en-US" w:eastAsia="zh-CN" w:bidi="ar-SA"/>
              </w:rPr>
              <w:t>分）</w:t>
            </w:r>
          </w:p>
        </w:tc>
        <w:tc>
          <w:tcPr>
            <w:tcW w:w="2960" w:type="pct"/>
            <w:noWrap w:val="0"/>
            <w:vAlign w:val="top"/>
          </w:tcPr>
          <w:p w14:paraId="534EB9E4">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制造厂商具有科技主管部门颁发的智慧财务云平台及服务科技成果转化项目证书，提供证书复印件</w:t>
            </w:r>
            <w:r>
              <w:rPr>
                <w:rFonts w:hint="eastAsia" w:ascii="宋体" w:hAnsi="宋体" w:eastAsia="宋体" w:cs="宋体"/>
                <w:kern w:val="0"/>
                <w:sz w:val="24"/>
                <w:szCs w:val="24"/>
                <w:lang w:val="zh-CN" w:eastAsia="zh-CN" w:bidi="ar-SA"/>
              </w:rPr>
              <w:t>，得</w:t>
            </w:r>
            <w:r>
              <w:rPr>
                <w:rFonts w:hint="eastAsia" w:ascii="宋体" w:hAnsi="宋体" w:eastAsia="宋体" w:cs="宋体"/>
                <w:kern w:val="0"/>
                <w:sz w:val="24"/>
                <w:szCs w:val="24"/>
                <w:lang w:val="en-US" w:eastAsia="zh-CN" w:bidi="ar-SA"/>
              </w:rPr>
              <w:t>2分。</w:t>
            </w:r>
          </w:p>
          <w:p w14:paraId="71823016">
            <w:pPr>
              <w:spacing w:line="360" w:lineRule="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制造厂商具有教育厅或教育部颁发的“校企合作示范企业”获奖证书，提供证书复印件，得2分。</w:t>
            </w:r>
          </w:p>
          <w:p w14:paraId="4AB7A989">
            <w:pPr>
              <w:spacing w:line="360" w:lineRule="auto"/>
              <w:rPr>
                <w:rFonts w:hint="eastAsia"/>
                <w:lang w:val="en-US" w:eastAsia="zh-CN"/>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投标商或</w:t>
            </w:r>
            <w:r>
              <w:rPr>
                <w:rFonts w:hint="eastAsia" w:ascii="宋体" w:hAnsi="宋体" w:eastAsia="宋体" w:cs="宋体"/>
                <w:kern w:val="0"/>
                <w:sz w:val="24"/>
                <w:szCs w:val="24"/>
                <w:lang w:val="en-US" w:eastAsia="zh-CN" w:bidi="ar-SA"/>
              </w:rPr>
              <w:t>制造厂商具有教育厅或教育部颁发的“突出贡献奖”获奖证书，提供证书复印件，得2分。</w:t>
            </w:r>
          </w:p>
        </w:tc>
      </w:tr>
    </w:tbl>
    <w:p w14:paraId="2A230EE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MzQ4ZmIxNDFlMzYzNzQ1YjcxYjcyYWVmMjIyMDEifQ=="/>
  </w:docVars>
  <w:rsids>
    <w:rsidRoot w:val="548E4CC0"/>
    <w:rsid w:val="09430B5B"/>
    <w:rsid w:val="1002689D"/>
    <w:rsid w:val="34C201C1"/>
    <w:rsid w:val="3C13079F"/>
    <w:rsid w:val="548E4CC0"/>
    <w:rsid w:val="626113CC"/>
    <w:rsid w:val="6DBE71FC"/>
    <w:rsid w:val="6F82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宋体" w:asciiTheme="minorAscii" w:hAnsiTheme="minorAscii"/>
      <w:b/>
      <w:kern w:val="44"/>
      <w:sz w:val="44"/>
    </w:rPr>
  </w:style>
  <w:style w:type="paragraph" w:styleId="3">
    <w:name w:val="heading 2"/>
    <w:basedOn w:val="1"/>
    <w:next w:val="1"/>
    <w:link w:val="8"/>
    <w:semiHidden/>
    <w:unhideWhenUsed/>
    <w:qFormat/>
    <w:uiPriority w:val="0"/>
    <w:pPr>
      <w:keepNext/>
      <w:keepLines/>
      <w:spacing w:beforeLines="0" w:beforeAutospacing="0" w:afterLines="0" w:afterAutospacing="0" w:line="360" w:lineRule="auto"/>
      <w:jc w:val="right"/>
      <w:outlineLvl w:val="1"/>
    </w:pPr>
    <w:rPr>
      <w:rFonts w:ascii="Arial" w:hAnsi="Arial" w:eastAsia="仿宋"/>
      <w:b/>
      <w:sz w:val="28"/>
      <w:szCs w:val="22"/>
    </w:rPr>
  </w:style>
  <w:style w:type="paragraph" w:styleId="4">
    <w:name w:val="heading 3"/>
    <w:basedOn w:val="1"/>
    <w:next w:val="1"/>
    <w:semiHidden/>
    <w:unhideWhenUsed/>
    <w:qFormat/>
    <w:uiPriority w:val="0"/>
    <w:pPr>
      <w:keepNext/>
      <w:keepLines/>
      <w:spacing w:beforeLines="0" w:afterLines="0" w:line="360" w:lineRule="auto"/>
      <w:jc w:val="center"/>
      <w:outlineLvl w:val="2"/>
    </w:pPr>
    <w:rPr>
      <w:rFonts w:eastAsia="宋体" w:asciiTheme="minorAscii" w:hAnsiTheme="minorAscii"/>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2 Char"/>
    <w:link w:val="3"/>
    <w:qFormat/>
    <w:uiPriority w:val="0"/>
    <w:rPr>
      <w:rFonts w:ascii="Arial" w:hAnsi="Arial" w:eastAsia="仿宋"/>
      <w:b/>
      <w:sz w:val="28"/>
      <w:szCs w:val="22"/>
    </w:rPr>
  </w:style>
  <w:style w:type="paragraph" w:customStyle="1" w:styleId="9">
    <w:name w:val="Table Text"/>
    <w:qFormat/>
    <w:uiPriority w:val="0"/>
    <w:pPr>
      <w:suppressAutoHyphens/>
      <w:snapToGrid w:val="0"/>
      <w:spacing w:before="80" w:after="80"/>
    </w:pPr>
    <w:rPr>
      <w:rFonts w:ascii="Arial" w:hAnsi="Arial" w:eastAsia="宋体" w:cs="Arial"/>
      <w:kern w:val="1"/>
      <w:sz w:val="18"/>
      <w:lang w:val="en-US" w:eastAsia="zh-CN" w:bidi="ar-SA"/>
    </w:rPr>
  </w:style>
  <w:style w:type="paragraph" w:customStyle="1" w:styleId="10">
    <w:name w:val="GW-正文"/>
    <w:basedOn w:val="1"/>
    <w:qFormat/>
    <w:uiPriority w:val="99"/>
    <w:pPr>
      <w:spacing w:line="360" w:lineRule="auto"/>
      <w:ind w:firstLine="200" w:firstLineChars="200"/>
    </w:pPr>
    <w:rPr>
      <w:rFonts w:ascii="Times New Roman" w:hAnsi="Times New Roman" w:eastAsia="仿宋_GB231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2024-08-12T03:47:00Z</dcterms:created>
  <dc:creator>朋克少女</dc:creator>
  <cp:lastModifiedBy>朋克少女</cp:lastModifiedBy>
  <dcterms:modified xsi:type="dcterms:W3CDTF">2024-08-12T03:47:28Z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FF9A8A425D5B4CC39B85CCBA318CD372_11</vt:lpwstr>
  </property>
</Properties>
</file>