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643" w:firstLineChars="200"/>
        <w:jc w:val="both"/>
        <w:rPr>
          <w:rFonts w:hint="default"/>
        </w:rPr>
      </w:pPr>
      <w:r>
        <w:t>附加说明： 评分办法</w:t>
      </w:r>
    </w:p>
    <w:p>
      <w:pPr>
        <w:widowControl/>
        <w:adjustRightInd w:val="0"/>
        <w:snapToGrid w:val="0"/>
        <w:spacing w:after="156" w:afterLines="50" w:line="360" w:lineRule="auto"/>
        <w:ind w:firstLine="480" w:firstLineChars="200"/>
        <w:jc w:val="left"/>
        <w:rPr>
          <w:rFonts w:ascii="仿宋" w:hAnsi="仿宋" w:eastAsia="仿宋" w:cs="仿宋"/>
          <w:kern w:val="0"/>
          <w:sz w:val="24"/>
        </w:rPr>
      </w:pPr>
      <w:bookmarkStart w:id="1" w:name="_GoBack"/>
      <w:bookmarkEnd w:id="1"/>
      <w:r>
        <w:rPr>
          <w:rFonts w:hint="eastAsia" w:ascii="仿宋" w:hAnsi="仿宋" w:eastAsia="仿宋" w:cs="仿宋"/>
          <w:kern w:val="0"/>
          <w:sz w:val="24"/>
        </w:rPr>
        <w:t>本次评标采用综合评分法，评标委员会由五人组成，取五位评委评分的数学平均值作为每一个投标人的最终总得分。具体方法如下：</w:t>
      </w:r>
    </w:p>
    <w:p>
      <w:pPr>
        <w:pStyle w:val="3"/>
        <w:jc w:val="left"/>
        <w:rPr>
          <w:rFonts w:ascii="宋体" w:hAnsi="宋体" w:eastAsia="宋体" w:cs="宋体"/>
          <w:b/>
          <w:bCs/>
          <w:color w:val="auto"/>
          <w:spacing w:val="0"/>
        </w:rPr>
      </w:pPr>
      <w:r>
        <w:rPr>
          <w:rFonts w:hint="eastAsia" w:ascii="宋体" w:hAnsi="宋体" w:eastAsia="宋体" w:cs="宋体"/>
          <w:b/>
          <w:bCs/>
          <w:color w:val="auto"/>
          <w:spacing w:val="0"/>
        </w:rPr>
        <w:t>一、商务评分（小数点保留两位）</w:t>
      </w:r>
    </w:p>
    <w:tbl>
      <w:tblPr>
        <w:tblStyle w:val="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5387"/>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bookmarkStart w:id="0" w:name="_Hlk15492922"/>
            <w:r>
              <w:rPr>
                <w:rFonts w:hint="eastAsia" w:ascii="宋体" w:hAnsi="宋体" w:cs="宋体"/>
                <w:b/>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评标内容</w:t>
            </w:r>
          </w:p>
        </w:tc>
        <w:tc>
          <w:tcPr>
            <w:tcW w:w="5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分值</w:t>
            </w: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b/>
              </w:rPr>
            </w:pPr>
            <w:r>
              <w:rPr>
                <w:rFonts w:hint="eastAsia" w:ascii="宋体" w:hAnsi="宋体" w:cs="宋体"/>
                <w:b/>
              </w:rPr>
              <w:t>评分</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1417" w:type="dxa"/>
            <w:tcBorders>
              <w:top w:val="single" w:color="auto" w:sz="4" w:space="0"/>
              <w:left w:val="single" w:color="auto" w:sz="4" w:space="0"/>
              <w:bottom w:val="single" w:color="auto" w:sz="4" w:space="0"/>
              <w:right w:val="single" w:color="auto" w:sz="4" w:space="0"/>
            </w:tcBorders>
            <w:vAlign w:val="center"/>
          </w:tcPr>
          <w:p>
            <w:pPr>
              <w:shd w:val="clear" w:color="auto" w:fill="FFFFFF" w:themeFill="background1"/>
              <w:jc w:val="center"/>
              <w:rPr>
                <w:rFonts w:ascii="仿宋" w:hAnsi="仿宋" w:eastAsia="仿宋" w:cs="仿宋"/>
                <w:sz w:val="24"/>
              </w:rPr>
            </w:pPr>
            <w:r>
              <w:rPr>
                <w:rFonts w:hint="eastAsia" w:ascii="仿宋" w:hAnsi="仿宋" w:eastAsia="仿宋" w:cs="仿宋"/>
                <w:sz w:val="24"/>
              </w:rPr>
              <w:t>投标报价</w:t>
            </w:r>
          </w:p>
          <w:p>
            <w:pPr>
              <w:shd w:val="clear" w:color="auto" w:fill="FFFFFF" w:themeFill="background1"/>
              <w:jc w:val="center"/>
              <w:rPr>
                <w:rFonts w:ascii="仿宋" w:hAnsi="仿宋" w:eastAsia="仿宋" w:cs="仿宋"/>
                <w:sz w:val="24"/>
              </w:rPr>
            </w:pPr>
            <w:r>
              <w:rPr>
                <w:rFonts w:hint="eastAsia" w:ascii="仿宋" w:hAnsi="仿宋" w:eastAsia="仿宋" w:cs="仿宋"/>
                <w:sz w:val="24"/>
              </w:rPr>
              <w:t>(50分)</w:t>
            </w:r>
          </w:p>
        </w:tc>
        <w:tc>
          <w:tcPr>
            <w:tcW w:w="5387" w:type="dxa"/>
            <w:tcBorders>
              <w:top w:val="single" w:color="auto" w:sz="4" w:space="0"/>
              <w:left w:val="single" w:color="auto" w:sz="4" w:space="0"/>
              <w:bottom w:val="single" w:color="auto" w:sz="4" w:space="0"/>
              <w:right w:val="single" w:color="auto" w:sz="4" w:space="0"/>
            </w:tcBorders>
            <w:vAlign w:val="center"/>
          </w:tcPr>
          <w:p>
            <w:pPr>
              <w:pStyle w:val="3"/>
              <w:spacing w:line="360" w:lineRule="exact"/>
              <w:rPr>
                <w:rFonts w:ascii="仿宋" w:hAnsi="仿宋" w:eastAsia="仿宋" w:cs="仿宋"/>
                <w:color w:val="auto"/>
                <w:spacing w:val="0"/>
                <w:kern w:val="2"/>
                <w:sz w:val="24"/>
              </w:rPr>
            </w:pPr>
            <w:r>
              <w:rPr>
                <w:rFonts w:hint="eastAsia" w:ascii="仿宋" w:hAnsi="仿宋" w:eastAsia="仿宋" w:cs="仿宋"/>
                <w:color w:val="auto"/>
                <w:spacing w:val="0"/>
                <w:kern w:val="2"/>
                <w:sz w:val="24"/>
              </w:rPr>
              <w:t>一、计算合理基准价</w:t>
            </w:r>
          </w:p>
          <w:p>
            <w:pPr>
              <w:pStyle w:val="3"/>
              <w:spacing w:line="360" w:lineRule="exact"/>
              <w:rPr>
                <w:rFonts w:ascii="仿宋" w:hAnsi="仿宋" w:eastAsia="仿宋" w:cs="仿宋"/>
                <w:color w:val="auto"/>
                <w:spacing w:val="0"/>
                <w:kern w:val="2"/>
                <w:sz w:val="24"/>
              </w:rPr>
            </w:pPr>
            <w:r>
              <w:rPr>
                <w:rFonts w:hint="eastAsia" w:ascii="仿宋" w:hAnsi="仿宋" w:eastAsia="仿宋" w:cs="仿宋"/>
                <w:color w:val="auto"/>
                <w:spacing w:val="0"/>
                <w:kern w:val="2"/>
                <w:sz w:val="24"/>
              </w:rPr>
              <w:t>经评标小组确认后，满足投标文件要求的所有有效投标单位，去掉一个最高报价、一个最低报价，然后用算术平均法求出本项目合理基准价。如果有效标商务评分价小于等于5家（含5家），则不再去掉最高报价和最低报价，全部参与算术平均。</w:t>
            </w:r>
          </w:p>
          <w:p>
            <w:pPr>
              <w:pStyle w:val="3"/>
              <w:spacing w:line="360" w:lineRule="exact"/>
              <w:rPr>
                <w:rFonts w:ascii="仿宋" w:hAnsi="仿宋" w:eastAsia="仿宋" w:cs="仿宋"/>
                <w:color w:val="auto"/>
                <w:spacing w:val="0"/>
                <w:kern w:val="2"/>
                <w:sz w:val="24"/>
              </w:rPr>
            </w:pPr>
            <w:r>
              <w:rPr>
                <w:rFonts w:hint="eastAsia" w:ascii="仿宋" w:hAnsi="仿宋" w:eastAsia="仿宋" w:cs="仿宋"/>
                <w:color w:val="auto"/>
                <w:spacing w:val="0"/>
                <w:kern w:val="2"/>
                <w:sz w:val="24"/>
              </w:rPr>
              <w:t>二、计算得分</w:t>
            </w:r>
          </w:p>
          <w:p>
            <w:pPr>
              <w:pStyle w:val="3"/>
              <w:spacing w:line="360" w:lineRule="exact"/>
              <w:rPr>
                <w:rFonts w:ascii="仿宋" w:hAnsi="仿宋" w:eastAsia="仿宋" w:cs="仿宋"/>
                <w:color w:val="auto"/>
                <w:spacing w:val="0"/>
                <w:kern w:val="2"/>
                <w:sz w:val="24"/>
              </w:rPr>
            </w:pPr>
            <w:r>
              <w:rPr>
                <w:rFonts w:hint="eastAsia" w:ascii="仿宋" w:hAnsi="仿宋" w:eastAsia="仿宋" w:cs="仿宋"/>
                <w:color w:val="auto"/>
                <w:spacing w:val="0"/>
                <w:kern w:val="2"/>
                <w:sz w:val="24"/>
              </w:rPr>
              <w:t>1.报价最高和报价最低的投标人得分45分；</w:t>
            </w:r>
          </w:p>
          <w:p>
            <w:pPr>
              <w:pStyle w:val="3"/>
              <w:spacing w:line="360" w:lineRule="exact"/>
              <w:rPr>
                <w:rFonts w:ascii="仿宋" w:hAnsi="仿宋" w:eastAsia="仿宋" w:cs="仿宋"/>
                <w:color w:val="auto"/>
                <w:spacing w:val="0"/>
                <w:kern w:val="2"/>
                <w:sz w:val="24"/>
              </w:rPr>
            </w:pPr>
            <w:r>
              <w:rPr>
                <w:rFonts w:hint="eastAsia" w:ascii="仿宋" w:hAnsi="仿宋" w:eastAsia="仿宋" w:cs="仿宋"/>
                <w:color w:val="auto"/>
                <w:spacing w:val="0"/>
                <w:kern w:val="2"/>
                <w:sz w:val="24"/>
              </w:rPr>
              <w:t>2.低于合理基准价且最接近合理基准价的一家投标人得50分；</w:t>
            </w:r>
          </w:p>
          <w:p>
            <w:pPr>
              <w:pStyle w:val="3"/>
              <w:spacing w:line="360" w:lineRule="exact"/>
              <w:rPr>
                <w:rFonts w:ascii="仿宋" w:hAnsi="仿宋" w:eastAsia="仿宋" w:cs="仿宋"/>
                <w:color w:val="auto"/>
                <w:spacing w:val="0"/>
                <w:kern w:val="2"/>
                <w:sz w:val="24"/>
              </w:rPr>
            </w:pPr>
            <w:r>
              <w:rPr>
                <w:rFonts w:hint="eastAsia" w:ascii="仿宋" w:hAnsi="仿宋" w:eastAsia="仿宋" w:cs="仿宋"/>
                <w:color w:val="auto"/>
                <w:spacing w:val="0"/>
                <w:kern w:val="2"/>
                <w:sz w:val="24"/>
              </w:rPr>
              <w:t>3.其余低于合理基准价的投标人得48分；其余高于合理基准价的投标人得47分；</w:t>
            </w:r>
          </w:p>
          <w:p>
            <w:pPr>
              <w:pStyle w:val="3"/>
              <w:spacing w:line="360" w:lineRule="exact"/>
              <w:rPr>
                <w:rFonts w:ascii="仿宋" w:hAnsi="仿宋" w:eastAsia="仿宋" w:cs="仿宋"/>
                <w:color w:val="auto"/>
                <w:spacing w:val="0"/>
                <w:kern w:val="2"/>
                <w:sz w:val="24"/>
              </w:rPr>
            </w:pPr>
            <w:r>
              <w:rPr>
                <w:rFonts w:hint="eastAsia" w:ascii="仿宋" w:hAnsi="仿宋" w:eastAsia="仿宋" w:cs="仿宋"/>
                <w:color w:val="auto"/>
                <w:spacing w:val="0"/>
                <w:kern w:val="2"/>
                <w:sz w:val="24"/>
              </w:rPr>
              <w:t>注：若低于合理基准价的投标人只有一家，则该投标人得48分,若高于合理基准价的投标人只有一家，则该投标人得45分。</w:t>
            </w:r>
          </w:p>
        </w:tc>
        <w:tc>
          <w:tcPr>
            <w:tcW w:w="992" w:type="dxa"/>
            <w:tcBorders>
              <w:top w:val="single" w:color="auto" w:sz="4" w:space="0"/>
              <w:left w:val="single" w:color="auto" w:sz="4" w:space="0"/>
              <w:right w:val="single" w:color="auto" w:sz="4" w:space="0"/>
            </w:tcBorders>
            <w:vAlign w:val="center"/>
          </w:tcPr>
          <w:p>
            <w:pPr>
              <w:ind w:firstLine="211" w:firstLineChars="100"/>
              <w:rPr>
                <w:rFonts w:ascii="宋体" w:hAnsi="宋体" w:cs="宋体"/>
              </w:rPr>
            </w:pPr>
            <w:r>
              <w:rPr>
                <w:rFonts w:hint="eastAsia" w:ascii="仿宋" w:hAnsi="仿宋" w:eastAsia="仿宋" w:cs="仿宋"/>
                <w:b/>
                <w:bCs/>
              </w:rPr>
              <w:t>50分</w:t>
            </w:r>
          </w:p>
        </w:tc>
        <w:tc>
          <w:tcPr>
            <w:tcW w:w="992" w:type="dxa"/>
            <w:tcBorders>
              <w:top w:val="single" w:color="auto" w:sz="4" w:space="0"/>
              <w:left w:val="single" w:color="auto" w:sz="4" w:space="0"/>
              <w:right w:val="single" w:color="auto" w:sz="4" w:space="0"/>
            </w:tcBorders>
          </w:tcPr>
          <w:p>
            <w:pPr>
              <w:ind w:firstLine="211" w:firstLineChars="100"/>
              <w:rPr>
                <w:rFonts w:hint="eastAsia" w:ascii="仿宋" w:hAnsi="仿宋" w:eastAsia="仿宋" w:cs="仿宋"/>
                <w:b/>
                <w:bCs/>
              </w:rPr>
            </w:pPr>
          </w:p>
        </w:tc>
      </w:tr>
    </w:tbl>
    <w:p>
      <w:pPr>
        <w:pStyle w:val="3"/>
        <w:jc w:val="left"/>
        <w:rPr>
          <w:rFonts w:ascii="宋体" w:hAnsi="宋体" w:eastAsia="宋体" w:cs="宋体"/>
          <w:b/>
          <w:bCs/>
          <w:color w:val="auto"/>
          <w:spacing w:val="0"/>
        </w:rPr>
      </w:pPr>
      <w:r>
        <w:rPr>
          <w:rFonts w:hint="eastAsia" w:ascii="宋体" w:hAnsi="宋体" w:eastAsia="宋体" w:cs="宋体"/>
          <w:b/>
          <w:bCs/>
          <w:color w:val="auto"/>
          <w:spacing w:val="0"/>
        </w:rPr>
        <w:t>二、技术评分（小数点保留两位）</w:t>
      </w:r>
    </w:p>
    <w:tbl>
      <w:tblPr>
        <w:tblStyle w:val="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5387"/>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vAlign w:val="center"/>
          </w:tcPr>
          <w:p>
            <w:pPr>
              <w:jc w:val="center"/>
              <w:rPr>
                <w:rFonts w:ascii="宋体" w:hAnsi="宋体" w:cs="宋体"/>
                <w:b/>
              </w:rPr>
            </w:pPr>
            <w:r>
              <w:rPr>
                <w:rFonts w:hint="eastAsia" w:ascii="宋体" w:hAnsi="宋体" w:cs="宋体"/>
                <w:b/>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评标内容</w:t>
            </w:r>
          </w:p>
        </w:tc>
        <w:tc>
          <w:tcPr>
            <w:tcW w:w="5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rPr>
            </w:pPr>
            <w:r>
              <w:rPr>
                <w:rFonts w:hint="eastAsia" w:ascii="宋体" w:hAnsi="宋体" w:cs="宋体"/>
                <w:b/>
              </w:rPr>
              <w:t>评分细则</w:t>
            </w:r>
          </w:p>
        </w:tc>
        <w:tc>
          <w:tcPr>
            <w:tcW w:w="992" w:type="dxa"/>
            <w:vAlign w:val="center"/>
          </w:tcPr>
          <w:p>
            <w:pPr>
              <w:jc w:val="center"/>
              <w:rPr>
                <w:rFonts w:ascii="宋体" w:hAnsi="宋体" w:cs="宋体"/>
                <w:b/>
              </w:rPr>
            </w:pPr>
            <w:r>
              <w:rPr>
                <w:rFonts w:hint="eastAsia" w:ascii="宋体" w:hAnsi="宋体" w:cs="宋体"/>
                <w:b/>
              </w:rPr>
              <w:t>分值</w:t>
            </w:r>
          </w:p>
        </w:tc>
        <w:tc>
          <w:tcPr>
            <w:tcW w:w="992" w:type="dxa"/>
          </w:tcPr>
          <w:p>
            <w:pPr>
              <w:jc w:val="center"/>
              <w:rPr>
                <w:rFonts w:hint="eastAsia" w:ascii="宋体" w:hAnsi="宋体" w:cs="宋体"/>
                <w:b/>
              </w:rPr>
            </w:pPr>
            <w:r>
              <w:rPr>
                <w:rFonts w:hint="eastAsia" w:ascii="宋体" w:hAnsi="宋体" w:cs="宋体"/>
                <w:b/>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right w:val="single" w:color="auto" w:sz="4" w:space="0"/>
            </w:tcBorders>
            <w:vAlign w:val="center"/>
          </w:tcPr>
          <w:p>
            <w:pPr>
              <w:spacing w:before="78" w:beforeLines="25" w:after="78" w:afterLines="25"/>
              <w:jc w:val="center"/>
              <w:rPr>
                <w:rFonts w:ascii="仿宋" w:hAnsi="仿宋" w:eastAsia="仿宋" w:cs="仿宋"/>
                <w:sz w:val="24"/>
              </w:rPr>
            </w:pPr>
            <w:r>
              <w:rPr>
                <w:rFonts w:hint="eastAsia" w:ascii="仿宋" w:hAnsi="仿宋" w:eastAsia="仿宋" w:cs="仿宋"/>
                <w:sz w:val="24"/>
              </w:rPr>
              <w:t>1</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line="360" w:lineRule="exact"/>
              <w:jc w:val="center"/>
              <w:rPr>
                <w:rFonts w:ascii="仿宋" w:hAnsi="仿宋" w:eastAsia="仿宋" w:cs="仿宋"/>
                <w:sz w:val="24"/>
              </w:rPr>
            </w:pPr>
            <w:r>
              <w:rPr>
                <w:rFonts w:hint="eastAsia" w:ascii="仿宋" w:hAnsi="仿宋" w:eastAsia="仿宋" w:cs="仿宋"/>
                <w:sz w:val="24"/>
              </w:rPr>
              <w:t>产品技术参数及质量等技术指标</w:t>
            </w:r>
            <w:r>
              <w:rPr>
                <w:rFonts w:hint="eastAsia" w:ascii="仿宋" w:hAnsi="仿宋" w:eastAsia="仿宋" w:cs="仿宋"/>
                <w:b/>
                <w:bCs/>
                <w:sz w:val="24"/>
              </w:rPr>
              <w:t>(</w:t>
            </w:r>
            <w:r>
              <w:rPr>
                <w:rFonts w:hint="eastAsia" w:ascii="仿宋" w:hAnsi="仿宋" w:eastAsia="仿宋" w:cs="仿宋"/>
                <w:b/>
                <w:bCs/>
                <w:sz w:val="24"/>
                <w:lang w:val="en-US" w:eastAsia="zh-CN"/>
              </w:rPr>
              <w:t>3</w:t>
            </w:r>
            <w:r>
              <w:rPr>
                <w:rFonts w:hint="eastAsia" w:ascii="仿宋" w:hAnsi="仿宋" w:eastAsia="仿宋" w:cs="仿宋"/>
                <w:b/>
                <w:bCs/>
                <w:sz w:val="24"/>
              </w:rPr>
              <w:t>2分)</w:t>
            </w:r>
          </w:p>
        </w:tc>
        <w:tc>
          <w:tcPr>
            <w:tcW w:w="5387"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sz w:val="24"/>
              </w:rPr>
            </w:pPr>
            <w:r>
              <w:rPr>
                <w:rFonts w:hint="eastAsia" w:ascii="仿宋" w:hAnsi="仿宋" w:eastAsia="仿宋" w:cs="仿宋"/>
                <w:sz w:val="24"/>
              </w:rPr>
              <w:t>根据投标产品材质性能指标对技术要求的满足程度进行综合评分（注意投标文件内置截图证明项内容）；</w:t>
            </w:r>
          </w:p>
          <w:p>
            <w:pPr>
              <w:spacing w:line="360" w:lineRule="exact"/>
              <w:rPr>
                <w:rFonts w:hint="eastAsia" w:ascii="仿宋" w:hAnsi="仿宋" w:eastAsia="仿宋" w:cs="仿宋"/>
                <w:sz w:val="24"/>
              </w:rPr>
            </w:pPr>
            <w:r>
              <w:rPr>
                <w:rFonts w:hint="eastAsia" w:ascii="仿宋" w:hAnsi="仿宋" w:eastAsia="仿宋" w:cs="仿宋"/>
                <w:sz w:val="24"/>
              </w:rPr>
              <w:t>全部满足招标文件的服务内容及要求得</w:t>
            </w:r>
            <w:r>
              <w:rPr>
                <w:rFonts w:hint="eastAsia" w:ascii="仿宋" w:hAnsi="仿宋" w:eastAsia="仿宋" w:cs="仿宋"/>
                <w:sz w:val="24"/>
                <w:lang w:val="en-US" w:eastAsia="zh-CN"/>
              </w:rPr>
              <w:t>32</w:t>
            </w:r>
            <w:r>
              <w:rPr>
                <w:rFonts w:hint="eastAsia" w:ascii="仿宋" w:hAnsi="仿宋" w:eastAsia="仿宋" w:cs="仿宋"/>
                <w:sz w:val="24"/>
              </w:rPr>
              <w:t>分。</w:t>
            </w:r>
          </w:p>
          <w:p>
            <w:pPr>
              <w:spacing w:line="360" w:lineRule="exact"/>
              <w:rPr>
                <w:rFonts w:hint="eastAsia" w:ascii="仿宋" w:hAnsi="仿宋" w:eastAsia="仿宋" w:cs="仿宋"/>
                <w:sz w:val="24"/>
              </w:rPr>
            </w:pPr>
            <w:r>
              <w:rPr>
                <w:rFonts w:hint="eastAsia" w:ascii="仿宋" w:hAnsi="仿宋" w:eastAsia="仿宋" w:cs="仿宋"/>
                <w:sz w:val="24"/>
              </w:rPr>
              <w:t>1、标注“▲”号的参数为重要项参数，共</w:t>
            </w:r>
            <w:r>
              <w:rPr>
                <w:rFonts w:hint="eastAsia" w:ascii="仿宋" w:hAnsi="仿宋" w:eastAsia="仿宋" w:cs="仿宋"/>
                <w:sz w:val="24"/>
                <w:lang w:val="en-US" w:eastAsia="zh-CN"/>
              </w:rPr>
              <w:t>8</w:t>
            </w:r>
            <w:r>
              <w:rPr>
                <w:rFonts w:hint="eastAsia" w:ascii="仿宋" w:hAnsi="仿宋" w:eastAsia="仿宋" w:cs="仿宋"/>
                <w:sz w:val="24"/>
              </w:rPr>
              <w:t>项，全部满足得</w:t>
            </w:r>
            <w:r>
              <w:rPr>
                <w:rFonts w:hint="eastAsia" w:ascii="仿宋" w:hAnsi="仿宋" w:eastAsia="仿宋" w:cs="仿宋"/>
                <w:sz w:val="24"/>
                <w:lang w:val="en-US" w:eastAsia="zh-CN"/>
              </w:rPr>
              <w:t>32</w:t>
            </w:r>
            <w:r>
              <w:rPr>
                <w:rFonts w:hint="eastAsia" w:ascii="仿宋" w:hAnsi="仿宋" w:eastAsia="仿宋" w:cs="仿宋"/>
                <w:sz w:val="24"/>
              </w:rPr>
              <w:t>分。须提供要求的证明材料予以佐证，未提供材料的参数视为负偏离。每有一项负偏离或不响应的扣</w:t>
            </w:r>
            <w:r>
              <w:rPr>
                <w:rFonts w:hint="eastAsia" w:ascii="仿宋" w:hAnsi="仿宋" w:eastAsia="仿宋" w:cs="仿宋"/>
                <w:sz w:val="24"/>
                <w:lang w:val="en-US" w:eastAsia="zh-CN"/>
              </w:rPr>
              <w:t>4</w:t>
            </w:r>
            <w:r>
              <w:rPr>
                <w:rFonts w:hint="eastAsia" w:ascii="仿宋" w:hAnsi="仿宋" w:eastAsia="仿宋" w:cs="仿宋"/>
                <w:sz w:val="24"/>
              </w:rPr>
              <w:t>分。</w:t>
            </w:r>
          </w:p>
          <w:p>
            <w:pPr>
              <w:spacing w:line="360" w:lineRule="exact"/>
              <w:rPr>
                <w:rFonts w:hint="eastAsia" w:ascii="仿宋" w:hAnsi="仿宋" w:eastAsia="仿宋" w:cs="仿宋"/>
                <w:sz w:val="24"/>
              </w:rPr>
            </w:pPr>
          </w:p>
        </w:tc>
        <w:tc>
          <w:tcPr>
            <w:tcW w:w="992" w:type="dxa"/>
            <w:vMerge w:val="restart"/>
            <w:vAlign w:val="center"/>
          </w:tcPr>
          <w:p>
            <w:pPr>
              <w:pStyle w:val="3"/>
              <w:ind w:firstLine="241" w:firstLineChars="100"/>
              <w:rPr>
                <w:rFonts w:ascii="仿宋" w:hAnsi="仿宋" w:eastAsia="仿宋" w:cs="仿宋"/>
                <w:sz w:val="24"/>
              </w:rPr>
            </w:pPr>
            <w:r>
              <w:rPr>
                <w:rFonts w:hint="eastAsia" w:ascii="仿宋" w:hAnsi="仿宋" w:eastAsia="仿宋" w:cs="仿宋"/>
                <w:b/>
                <w:bCs/>
                <w:color w:val="auto"/>
                <w:spacing w:val="0"/>
                <w:kern w:val="2"/>
                <w:sz w:val="24"/>
              </w:rPr>
              <w:t>50分</w:t>
            </w:r>
          </w:p>
        </w:tc>
        <w:tc>
          <w:tcPr>
            <w:tcW w:w="992" w:type="dxa"/>
          </w:tcPr>
          <w:p>
            <w:pPr>
              <w:pStyle w:val="3"/>
              <w:ind w:firstLine="241" w:firstLineChars="100"/>
              <w:rPr>
                <w:rFonts w:hint="eastAsia" w:ascii="仿宋" w:hAnsi="仿宋" w:eastAsia="仿宋" w:cs="仿宋"/>
                <w:b/>
                <w:bCs/>
                <w:color w:val="auto"/>
                <w:spacing w:val="0"/>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4" w:space="0"/>
              <w:right w:val="single" w:color="auto" w:sz="4" w:space="0"/>
            </w:tcBorders>
            <w:vAlign w:val="center"/>
          </w:tcPr>
          <w:p>
            <w:pPr>
              <w:spacing w:before="78" w:beforeLines="25" w:after="78" w:afterLines="25"/>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line="360" w:lineRule="exact"/>
              <w:jc w:val="center"/>
              <w:rPr>
                <w:rFonts w:hint="eastAsia" w:ascii="仿宋" w:hAnsi="仿宋" w:eastAsia="仿宋" w:cs="仿宋"/>
                <w:sz w:val="24"/>
                <w:lang w:val="en-US" w:eastAsia="zh-CN"/>
              </w:rPr>
            </w:pPr>
            <w:r>
              <w:rPr>
                <w:rFonts w:hint="eastAsia" w:ascii="仿宋" w:hAnsi="仿宋" w:eastAsia="仿宋" w:cs="仿宋"/>
                <w:sz w:val="24"/>
              </w:rPr>
              <w:t>服务</w:t>
            </w:r>
            <w:r>
              <w:rPr>
                <w:rFonts w:hint="eastAsia" w:ascii="仿宋" w:hAnsi="仿宋" w:eastAsia="仿宋" w:cs="仿宋"/>
                <w:sz w:val="24"/>
                <w:lang w:val="en-US" w:eastAsia="zh-CN"/>
              </w:rPr>
              <w:t>能力</w:t>
            </w:r>
          </w:p>
          <w:p>
            <w:pPr>
              <w:spacing w:before="78" w:beforeLines="25" w:after="78" w:afterLines="25" w:line="360" w:lineRule="exact"/>
              <w:jc w:val="center"/>
              <w:rPr>
                <w:rFonts w:ascii="仿宋" w:hAnsi="仿宋" w:eastAsia="仿宋" w:cs="仿宋"/>
                <w:sz w:val="24"/>
              </w:rPr>
            </w:pPr>
            <w:r>
              <w:rPr>
                <w:rFonts w:hint="eastAsia" w:ascii="仿宋" w:hAnsi="仿宋" w:eastAsia="仿宋" w:cs="仿宋"/>
                <w:b/>
                <w:bCs/>
                <w:sz w:val="24"/>
              </w:rPr>
              <w:t>(</w:t>
            </w:r>
            <w:r>
              <w:rPr>
                <w:rFonts w:hint="eastAsia" w:ascii="仿宋" w:hAnsi="仿宋" w:eastAsia="仿宋" w:cs="仿宋"/>
                <w:b/>
                <w:bCs/>
                <w:sz w:val="24"/>
                <w:lang w:val="en-US" w:eastAsia="zh-CN"/>
              </w:rPr>
              <w:t>13</w:t>
            </w:r>
            <w:r>
              <w:rPr>
                <w:rFonts w:hint="eastAsia" w:ascii="仿宋" w:hAnsi="仿宋" w:eastAsia="仿宋" w:cs="仿宋"/>
                <w:b/>
                <w:bCs/>
                <w:sz w:val="24"/>
              </w:rPr>
              <w:t>分)</w:t>
            </w:r>
          </w:p>
        </w:tc>
        <w:tc>
          <w:tcPr>
            <w:tcW w:w="5387"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 w:hAnsi="仿宋" w:eastAsia="仿宋" w:cs="仿宋"/>
                <w:sz w:val="24"/>
              </w:rPr>
            </w:pPr>
            <w:r>
              <w:rPr>
                <w:rFonts w:hint="eastAsia" w:ascii="仿宋" w:hAnsi="仿宋" w:eastAsia="仿宋" w:cs="仿宋"/>
                <w:sz w:val="24"/>
              </w:rPr>
              <w:t>1、投标人所提供的课程平台需具备《信息系统安全等级保护备案证明》，三级及以上的得</w:t>
            </w:r>
            <w:r>
              <w:rPr>
                <w:rFonts w:hint="eastAsia" w:ascii="仿宋" w:hAnsi="仿宋" w:eastAsia="仿宋" w:cs="仿宋"/>
                <w:sz w:val="24"/>
                <w:lang w:val="en-US" w:eastAsia="zh-CN"/>
              </w:rPr>
              <w:t>5</w:t>
            </w:r>
            <w:r>
              <w:rPr>
                <w:rFonts w:hint="eastAsia" w:ascii="仿宋" w:hAnsi="仿宋" w:eastAsia="仿宋" w:cs="仿宋"/>
                <w:sz w:val="24"/>
              </w:rPr>
              <w:t>分，二级的得</w:t>
            </w:r>
            <w:r>
              <w:rPr>
                <w:rFonts w:hint="eastAsia" w:ascii="仿宋" w:hAnsi="仿宋" w:eastAsia="仿宋" w:cs="仿宋"/>
                <w:sz w:val="24"/>
                <w:lang w:val="en-US" w:eastAsia="zh-CN"/>
              </w:rPr>
              <w:t>3</w:t>
            </w:r>
            <w:r>
              <w:rPr>
                <w:rFonts w:hint="eastAsia" w:ascii="仿宋" w:hAnsi="仿宋" w:eastAsia="仿宋" w:cs="仿宋"/>
                <w:sz w:val="24"/>
              </w:rPr>
              <w:t>分，一级或不提供或提供无效证书的得0分。</w:t>
            </w:r>
          </w:p>
          <w:p>
            <w:pPr>
              <w:spacing w:line="360" w:lineRule="exact"/>
              <w:rPr>
                <w:rFonts w:hint="eastAsia" w:ascii="仿宋" w:hAnsi="仿宋" w:eastAsia="仿宋" w:cs="仿宋"/>
                <w:sz w:val="24"/>
              </w:rPr>
            </w:pPr>
            <w:r>
              <w:rPr>
                <w:rFonts w:hint="eastAsia" w:ascii="仿宋" w:hAnsi="仿宋" w:eastAsia="仿宋" w:cs="仿宋"/>
                <w:sz w:val="24"/>
              </w:rPr>
              <w:t>2、提供资源中心类软件有效的计算机软件著作权登记证书得2分，不满足不得分。</w:t>
            </w:r>
          </w:p>
          <w:p>
            <w:pPr>
              <w:spacing w:line="360" w:lineRule="exac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提供教程制作和课程设计类软件有效的计算机软件著作权登记证书得2分，不满足不得分。</w:t>
            </w:r>
          </w:p>
          <w:p>
            <w:pPr>
              <w:spacing w:line="360" w:lineRule="exac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提供互动教学质量监控保障类软件有效的计算机软件著作权登记证书得2分，不满足不得分。</w:t>
            </w:r>
          </w:p>
          <w:p>
            <w:pPr>
              <w:spacing w:line="360" w:lineRule="exact"/>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提供2D全景还原教学类软件有效的计算机软件著作权登记证书得2分，不满足不得分。</w:t>
            </w:r>
          </w:p>
          <w:p>
            <w:pPr>
              <w:spacing w:line="360" w:lineRule="exact"/>
              <w:rPr>
                <w:rFonts w:hint="eastAsia" w:ascii="仿宋" w:hAnsi="仿宋" w:eastAsia="仿宋" w:cs="仿宋"/>
                <w:sz w:val="24"/>
                <w:lang w:val="en-US" w:eastAsia="zh-CN"/>
              </w:rPr>
            </w:pPr>
          </w:p>
        </w:tc>
        <w:tc>
          <w:tcPr>
            <w:tcW w:w="992" w:type="dxa"/>
            <w:vMerge w:val="continue"/>
          </w:tcPr>
          <w:p>
            <w:pPr>
              <w:pStyle w:val="3"/>
              <w:rPr>
                <w:rFonts w:ascii="仿宋" w:hAnsi="仿宋" w:eastAsia="仿宋" w:cs="仿宋"/>
                <w:sz w:val="24"/>
              </w:rPr>
            </w:pPr>
          </w:p>
        </w:tc>
        <w:tc>
          <w:tcPr>
            <w:tcW w:w="992" w:type="dxa"/>
          </w:tcPr>
          <w:p>
            <w:pPr>
              <w:pStyle w:val="3"/>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4" w:space="0"/>
              <w:right w:val="single" w:color="auto" w:sz="4" w:space="0"/>
            </w:tcBorders>
            <w:vAlign w:val="center"/>
          </w:tcPr>
          <w:p>
            <w:pPr>
              <w:spacing w:before="78" w:beforeLines="25" w:after="78" w:afterLines="25"/>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78" w:beforeLines="25" w:after="78" w:afterLines="25" w:line="360" w:lineRule="exact"/>
              <w:jc w:val="center"/>
              <w:rPr>
                <w:rFonts w:ascii="仿宋" w:hAnsi="仿宋" w:eastAsia="仿宋" w:cs="仿宋"/>
                <w:sz w:val="24"/>
              </w:rPr>
            </w:pPr>
            <w:r>
              <w:rPr>
                <w:rFonts w:hint="eastAsia" w:ascii="仿宋" w:hAnsi="仿宋" w:eastAsia="仿宋" w:cs="仿宋"/>
                <w:sz w:val="24"/>
                <w:lang w:val="en-US" w:eastAsia="zh-CN"/>
              </w:rPr>
              <w:t>售后服务</w:t>
            </w:r>
            <w:r>
              <w:rPr>
                <w:rFonts w:hint="eastAsia" w:ascii="仿宋" w:hAnsi="仿宋" w:eastAsia="仿宋" w:cs="仿宋"/>
                <w:b/>
                <w:bCs/>
                <w:sz w:val="24"/>
              </w:rPr>
              <w:t>（</w:t>
            </w:r>
            <w:r>
              <w:rPr>
                <w:rFonts w:hint="eastAsia" w:ascii="仿宋" w:hAnsi="仿宋" w:eastAsia="仿宋" w:cs="仿宋"/>
                <w:b/>
                <w:bCs/>
                <w:sz w:val="24"/>
                <w:lang w:val="en-US" w:eastAsia="zh-CN"/>
              </w:rPr>
              <w:t>5</w:t>
            </w:r>
            <w:r>
              <w:rPr>
                <w:rFonts w:hint="eastAsia" w:ascii="仿宋" w:hAnsi="仿宋" w:eastAsia="仿宋" w:cs="仿宋"/>
                <w:b/>
                <w:bCs/>
                <w:sz w:val="24"/>
              </w:rPr>
              <w:t>分）</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仿宋" w:hAnsi="仿宋" w:eastAsia="仿宋" w:cs="仿宋"/>
                <w:sz w:val="24"/>
                <w:lang w:val="en-US" w:eastAsia="zh-CN"/>
              </w:rPr>
            </w:pPr>
            <w:r>
              <w:rPr>
                <w:rFonts w:hint="eastAsia" w:ascii="仿宋" w:hAnsi="仿宋" w:eastAsia="仿宋" w:cs="仿宋"/>
                <w:sz w:val="24"/>
              </w:rPr>
              <w:t>售后服务方案包括但不限于售后服务体系、技术咨询路径、售后服务人员</w:t>
            </w:r>
            <w:r>
              <w:rPr>
                <w:rFonts w:hint="eastAsia" w:ascii="仿宋" w:hAnsi="仿宋" w:eastAsia="仿宋" w:cs="仿宋"/>
                <w:sz w:val="24"/>
                <w:lang w:eastAsia="zh-CN"/>
              </w:rPr>
              <w:t>、</w:t>
            </w:r>
            <w:r>
              <w:rPr>
                <w:rFonts w:hint="eastAsia" w:ascii="仿宋" w:hAnsi="仿宋" w:eastAsia="仿宋" w:cs="仿宋"/>
                <w:sz w:val="24"/>
                <w:lang w:val="en-US" w:eastAsia="zh-CN"/>
              </w:rPr>
              <w:t>是否提供精品在线课程免费更新服务等</w:t>
            </w:r>
            <w:r>
              <w:rPr>
                <w:rFonts w:hint="eastAsia" w:ascii="仿宋" w:hAnsi="仿宋" w:eastAsia="仿宋" w:cs="仿宋"/>
                <w:sz w:val="24"/>
              </w:rPr>
              <w:t>，进行综合评分：</w:t>
            </w:r>
          </w:p>
        </w:tc>
        <w:tc>
          <w:tcPr>
            <w:tcW w:w="992" w:type="dxa"/>
            <w:vMerge w:val="continue"/>
          </w:tcPr>
          <w:p>
            <w:pPr>
              <w:pStyle w:val="3"/>
              <w:rPr>
                <w:rFonts w:ascii="仿宋" w:hAnsi="仿宋" w:eastAsia="仿宋" w:cs="仿宋"/>
                <w:sz w:val="24"/>
              </w:rPr>
            </w:pPr>
          </w:p>
        </w:tc>
        <w:tc>
          <w:tcPr>
            <w:tcW w:w="992" w:type="dxa"/>
          </w:tcPr>
          <w:p>
            <w:pPr>
              <w:pStyle w:val="3"/>
              <w:rPr>
                <w:rFonts w:ascii="仿宋" w:hAnsi="仿宋" w:eastAsia="仿宋" w:cs="仿宋"/>
                <w:sz w:val="24"/>
              </w:rPr>
            </w:pPr>
          </w:p>
        </w:tc>
      </w:tr>
    </w:tbl>
    <w:p>
      <w:pPr>
        <w:pStyle w:val="3"/>
        <w:rPr>
          <w:rFonts w:hint="eastAsia" w:ascii="仿宋" w:hAnsi="仿宋" w:eastAsia="仿宋" w:cs="仿宋"/>
          <w:b/>
          <w:color w:val="auto"/>
          <w:spacing w:val="0"/>
          <w:kern w:val="2"/>
          <w:sz w:val="24"/>
        </w:rPr>
      </w:pPr>
    </w:p>
    <w:p>
      <w:pPr>
        <w:pStyle w:val="3"/>
        <w:rPr>
          <w:rFonts w:ascii="仿宋" w:hAnsi="仿宋" w:eastAsia="仿宋" w:cs="仿宋"/>
          <w:b/>
          <w:color w:val="auto"/>
          <w:spacing w:val="0"/>
          <w:kern w:val="2"/>
          <w:sz w:val="24"/>
        </w:rPr>
      </w:pPr>
      <w:r>
        <w:rPr>
          <w:rFonts w:ascii="仿宋" w:hAnsi="仿宋" w:eastAsia="仿宋" w:cs="仿宋"/>
          <w:b/>
          <w:color w:val="auto"/>
          <w:spacing w:val="0"/>
          <w:kern w:val="2"/>
          <w:sz w:val="24"/>
        </w:rPr>
        <w:t>总分：</w:t>
      </w:r>
    </w:p>
    <w:p>
      <w:pPr>
        <w:pStyle w:val="3"/>
        <w:rPr>
          <w:rFonts w:ascii="仿宋" w:hAnsi="仿宋" w:eastAsia="仿宋" w:cs="仿宋"/>
          <w:b/>
          <w:color w:val="auto"/>
          <w:spacing w:val="0"/>
          <w:kern w:val="2"/>
          <w:sz w:val="24"/>
        </w:rPr>
      </w:pPr>
      <w:r>
        <w:rPr>
          <w:rFonts w:ascii="仿宋" w:hAnsi="仿宋" w:eastAsia="仿宋" w:cs="仿宋"/>
          <w:b/>
          <w:color w:val="auto"/>
          <w:spacing w:val="0"/>
          <w:kern w:val="2"/>
          <w:sz w:val="24"/>
        </w:rPr>
        <w:t>评分人签字：</w:t>
      </w:r>
      <w:r>
        <w:rPr>
          <w:rFonts w:hint="eastAsia" w:ascii="仿宋" w:hAnsi="仿宋" w:eastAsia="仿宋" w:cs="仿宋"/>
          <w:b/>
          <w:color w:val="auto"/>
          <w:spacing w:val="0"/>
          <w:kern w:val="2"/>
          <w:sz w:val="24"/>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Njk1NDU4YmM1NjY4ZjI0ZDc3OGVmOWJhMjg1MzAifQ=="/>
  </w:docVars>
  <w:rsids>
    <w:rsidRoot w:val="004C00F3"/>
    <w:rsid w:val="000118CC"/>
    <w:rsid w:val="00062A9A"/>
    <w:rsid w:val="0006324A"/>
    <w:rsid w:val="000B3A12"/>
    <w:rsid w:val="000F0FC7"/>
    <w:rsid w:val="004C00F3"/>
    <w:rsid w:val="004E6D06"/>
    <w:rsid w:val="00554836"/>
    <w:rsid w:val="006636A2"/>
    <w:rsid w:val="00693B38"/>
    <w:rsid w:val="009428C8"/>
    <w:rsid w:val="009E09E0"/>
    <w:rsid w:val="00A7635C"/>
    <w:rsid w:val="00B36DD3"/>
    <w:rsid w:val="00F74B00"/>
    <w:rsid w:val="01EE7C08"/>
    <w:rsid w:val="04830F14"/>
    <w:rsid w:val="058A1F49"/>
    <w:rsid w:val="09E75533"/>
    <w:rsid w:val="0A0A75A9"/>
    <w:rsid w:val="102E3869"/>
    <w:rsid w:val="14765242"/>
    <w:rsid w:val="1BEA35E6"/>
    <w:rsid w:val="25005714"/>
    <w:rsid w:val="26D20FF7"/>
    <w:rsid w:val="27E104FC"/>
    <w:rsid w:val="2C646F21"/>
    <w:rsid w:val="2CCF676F"/>
    <w:rsid w:val="2F0D68DA"/>
    <w:rsid w:val="2F4F7352"/>
    <w:rsid w:val="2FB7522E"/>
    <w:rsid w:val="3104785B"/>
    <w:rsid w:val="351F4CFA"/>
    <w:rsid w:val="375C0B95"/>
    <w:rsid w:val="38951D40"/>
    <w:rsid w:val="38B44A00"/>
    <w:rsid w:val="3BCB453B"/>
    <w:rsid w:val="3BF824D1"/>
    <w:rsid w:val="3D012647"/>
    <w:rsid w:val="41AB5CE0"/>
    <w:rsid w:val="482508C6"/>
    <w:rsid w:val="48A75C4A"/>
    <w:rsid w:val="4A9D3546"/>
    <w:rsid w:val="4AB663B6"/>
    <w:rsid w:val="4E5B3F7C"/>
    <w:rsid w:val="596B3E3F"/>
    <w:rsid w:val="5A821E11"/>
    <w:rsid w:val="60F03A7D"/>
    <w:rsid w:val="623B56C7"/>
    <w:rsid w:val="62CD294D"/>
    <w:rsid w:val="62EB58A1"/>
    <w:rsid w:val="677F6056"/>
    <w:rsid w:val="67E52045"/>
    <w:rsid w:val="6B4A24D7"/>
    <w:rsid w:val="6E3764F5"/>
    <w:rsid w:val="6EA44526"/>
    <w:rsid w:val="70311EB7"/>
    <w:rsid w:val="73772450"/>
    <w:rsid w:val="75A35E73"/>
    <w:rsid w:val="7A8C61F7"/>
    <w:rsid w:val="7A962C55"/>
    <w:rsid w:val="7EFC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center"/>
      <w:outlineLvl w:val="0"/>
    </w:pPr>
    <w:rPr>
      <w:rFonts w:hint="eastAsia" w:ascii="宋体" w:hAnsi="宋体" w:cs="宋体"/>
      <w:b/>
      <w:kern w:val="44"/>
      <w:sz w:val="32"/>
      <w:szCs w:val="4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autoSpaceDE w:val="0"/>
      <w:autoSpaceDN w:val="0"/>
      <w:adjustRightInd w:val="0"/>
      <w:snapToGrid w:val="0"/>
      <w:spacing w:line="360" w:lineRule="auto"/>
    </w:pPr>
    <w:rPr>
      <w:rFonts w:ascii="幼圆" w:eastAsia="幼圆"/>
      <w:color w:val="000000"/>
      <w:spacing w:val="8"/>
      <w:kern w:val="0"/>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autoRedefine/>
    <w:qFormat/>
    <w:uiPriority w:val="0"/>
  </w:style>
  <w:style w:type="paragraph" w:customStyle="1" w:styleId="10">
    <w:name w:val="Default"/>
    <w:next w:val="1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3">
    <w:name w:val="页眉 Char"/>
    <w:basedOn w:val="8"/>
    <w:link w:val="5"/>
    <w:autoRedefine/>
    <w:qFormat/>
    <w:uiPriority w:val="99"/>
    <w:rPr>
      <w:sz w:val="18"/>
      <w:szCs w:val="18"/>
    </w:rPr>
  </w:style>
  <w:style w:type="character" w:customStyle="1" w:styleId="14">
    <w:name w:val="页脚 Char"/>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1378</Words>
  <Characters>1405</Characters>
  <Lines>13</Lines>
  <Paragraphs>3</Paragraphs>
  <TotalTime>2</TotalTime>
  <ScaleCrop>false</ScaleCrop>
  <LinksUpToDate>false</LinksUpToDate>
  <CharactersWithSpaces>1440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2023-12-01T09:00:00Z</dcterms:created>
  <dc:creator>ChenXuan</dc:creator>
  <cp:lastModifiedBy>ZLH</cp:lastModifiedBy>
  <dcterms:modified xsi:type="dcterms:W3CDTF">2024-06-12T02:17:20Z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6BFBE2A99C274BDCB564057A8F39956A_12</vt:lpwstr>
  </property>
</Properties>
</file>